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DE5" w:rsidRPr="00EE3D0A" w:rsidRDefault="00917E0D" w:rsidP="00A929B7">
      <w:pPr>
        <w:jc w:val="center"/>
        <w:rPr>
          <w:rFonts w:ascii="標楷體" w:eastAsia="標楷體" w:hAnsi="標楷體" w:cs="Arial"/>
          <w:b/>
          <w:sz w:val="36"/>
          <w:szCs w:val="36"/>
        </w:rPr>
      </w:pPr>
      <w:r>
        <w:rPr>
          <w:rFonts w:ascii="標楷體" w:eastAsia="標楷體" w:hAnsi="標楷體" w:cs="Arial" w:hint="eastAsia"/>
          <w:b/>
          <w:sz w:val="36"/>
          <w:szCs w:val="36"/>
        </w:rPr>
        <w:t>N</w:t>
      </w:r>
      <w:r>
        <w:rPr>
          <w:rFonts w:ascii="標楷體" w:eastAsia="標楷體" w:hAnsi="標楷體" w:cs="Arial"/>
          <w:b/>
          <w:sz w:val="36"/>
          <w:szCs w:val="36"/>
        </w:rPr>
        <w:t>otice</w:t>
      </w:r>
    </w:p>
    <w:p w:rsidR="004500AC" w:rsidRPr="004500AC" w:rsidRDefault="004500AC" w:rsidP="004500AC">
      <w:pPr>
        <w:pStyle w:val="a7"/>
        <w:widowControl/>
        <w:numPr>
          <w:ilvl w:val="0"/>
          <w:numId w:val="3"/>
        </w:numPr>
        <w:snapToGrid w:val="0"/>
        <w:spacing w:before="100" w:beforeAutospacing="1" w:after="100" w:afterAutospacing="1" w:line="360" w:lineRule="auto"/>
        <w:ind w:leftChars="0"/>
        <w:rPr>
          <w:rFonts w:eastAsia="標楷體" w:hAnsi="標楷體"/>
          <w:bCs/>
          <w:color w:val="000000"/>
          <w:kern w:val="0"/>
          <w:sz w:val="28"/>
          <w:szCs w:val="28"/>
        </w:rPr>
      </w:pPr>
      <w:r w:rsidRPr="004500AC">
        <w:rPr>
          <w:rFonts w:eastAsia="標楷體" w:hAnsi="標楷體"/>
          <w:bCs/>
          <w:color w:val="000000"/>
          <w:kern w:val="0"/>
          <w:sz w:val="28"/>
          <w:szCs w:val="28"/>
        </w:rPr>
        <w:t>Restrictions on use: This machine is a 12-inch device. Except for 12-inch wafers that can be directly processed, other sizes of test pieces must be placed.</w:t>
      </w:r>
    </w:p>
    <w:p w:rsidR="004500AC" w:rsidRPr="004500AC" w:rsidRDefault="004500AC" w:rsidP="004500AC">
      <w:pPr>
        <w:pStyle w:val="a7"/>
        <w:widowControl/>
        <w:numPr>
          <w:ilvl w:val="0"/>
          <w:numId w:val="3"/>
        </w:numPr>
        <w:snapToGrid w:val="0"/>
        <w:spacing w:before="100" w:beforeAutospacing="1" w:after="100" w:afterAutospacing="1" w:line="360" w:lineRule="auto"/>
        <w:ind w:leftChars="0"/>
        <w:rPr>
          <w:rFonts w:eastAsia="標楷體" w:hAnsi="標楷體"/>
          <w:bCs/>
          <w:color w:val="000000"/>
          <w:kern w:val="0"/>
          <w:sz w:val="28"/>
          <w:szCs w:val="28"/>
        </w:rPr>
      </w:pPr>
      <w:r w:rsidRPr="004500AC">
        <w:rPr>
          <w:rFonts w:eastAsia="標楷體" w:hAnsi="標楷體"/>
          <w:bCs/>
          <w:color w:val="000000"/>
          <w:kern w:val="0"/>
          <w:sz w:val="28"/>
          <w:szCs w:val="28"/>
        </w:rPr>
        <w:t>The patch method is to use yellow heat-resistant glue for patching. The use of other glues is prohibited.</w:t>
      </w:r>
    </w:p>
    <w:p w:rsidR="004500AC" w:rsidRPr="004500AC" w:rsidRDefault="004500AC" w:rsidP="004500AC">
      <w:pPr>
        <w:pStyle w:val="a7"/>
        <w:widowControl/>
        <w:numPr>
          <w:ilvl w:val="0"/>
          <w:numId w:val="3"/>
        </w:numPr>
        <w:snapToGrid w:val="0"/>
        <w:spacing w:before="100" w:beforeAutospacing="1" w:after="100" w:afterAutospacing="1" w:line="360" w:lineRule="auto"/>
        <w:ind w:leftChars="0"/>
        <w:rPr>
          <w:rFonts w:eastAsia="標楷體" w:hAnsi="標楷體"/>
          <w:bCs/>
          <w:color w:val="000000"/>
          <w:kern w:val="0"/>
          <w:sz w:val="28"/>
          <w:szCs w:val="28"/>
        </w:rPr>
      </w:pPr>
      <w:r w:rsidRPr="004500AC">
        <w:rPr>
          <w:rFonts w:eastAsia="標楷體" w:hAnsi="標楷體"/>
          <w:bCs/>
          <w:color w:val="000000"/>
          <w:kern w:val="0"/>
          <w:sz w:val="28"/>
          <w:szCs w:val="28"/>
        </w:rPr>
        <w:t xml:space="preserve">When etching a test piece smaller than 8 inches, it may not be possible to </w:t>
      </w:r>
      <w:bookmarkStart w:id="0" w:name="_GoBack"/>
      <w:bookmarkEnd w:id="0"/>
      <w:r w:rsidRPr="004500AC">
        <w:rPr>
          <w:rFonts w:eastAsia="標楷體" w:hAnsi="標楷體"/>
          <w:bCs/>
          <w:color w:val="000000"/>
          <w:kern w:val="0"/>
          <w:sz w:val="28"/>
          <w:szCs w:val="28"/>
        </w:rPr>
        <w:t>observe obvious spectral changes, so the End-point method cannot be used to stop at the specified position.</w:t>
      </w:r>
    </w:p>
    <w:p w:rsidR="004500AC" w:rsidRPr="004500AC" w:rsidRDefault="004500AC" w:rsidP="004500AC">
      <w:pPr>
        <w:pStyle w:val="a7"/>
        <w:widowControl/>
        <w:numPr>
          <w:ilvl w:val="0"/>
          <w:numId w:val="3"/>
        </w:numPr>
        <w:snapToGrid w:val="0"/>
        <w:spacing w:before="100" w:beforeAutospacing="1" w:after="100" w:afterAutospacing="1" w:line="360" w:lineRule="auto"/>
        <w:ind w:leftChars="0"/>
        <w:rPr>
          <w:rFonts w:eastAsia="標楷體" w:hAnsi="標楷體"/>
          <w:bCs/>
          <w:color w:val="000000"/>
          <w:kern w:val="0"/>
          <w:sz w:val="28"/>
          <w:szCs w:val="28"/>
        </w:rPr>
      </w:pPr>
      <w:r w:rsidRPr="004500AC">
        <w:rPr>
          <w:rFonts w:eastAsia="標楷體" w:hAnsi="標楷體"/>
          <w:bCs/>
          <w:color w:val="000000"/>
          <w:kern w:val="0"/>
          <w:sz w:val="28"/>
          <w:szCs w:val="28"/>
        </w:rPr>
        <w:t>In order to avoid the influence of particle and vacuum degree, photoresist is forbidden to enter, it is recommended to use other hard-mask materials, such as Ta, SiO2, etc., and use this equipment to etch after defining it before other etching machines.</w:t>
      </w:r>
    </w:p>
    <w:p w:rsidR="004500AC" w:rsidRPr="004500AC" w:rsidRDefault="004500AC" w:rsidP="004500AC">
      <w:pPr>
        <w:pStyle w:val="a7"/>
        <w:widowControl/>
        <w:numPr>
          <w:ilvl w:val="0"/>
          <w:numId w:val="3"/>
        </w:numPr>
        <w:snapToGrid w:val="0"/>
        <w:spacing w:before="100" w:beforeAutospacing="1" w:after="100" w:afterAutospacing="1" w:line="360" w:lineRule="auto"/>
        <w:ind w:leftChars="0"/>
        <w:rPr>
          <w:rFonts w:eastAsia="標楷體" w:hAnsi="標楷體"/>
          <w:bCs/>
          <w:color w:val="000000"/>
          <w:kern w:val="0"/>
          <w:sz w:val="28"/>
          <w:szCs w:val="28"/>
        </w:rPr>
      </w:pPr>
      <w:r w:rsidRPr="004500AC">
        <w:rPr>
          <w:rFonts w:eastAsia="標楷體" w:hAnsi="標楷體"/>
          <w:bCs/>
          <w:color w:val="000000"/>
          <w:kern w:val="0"/>
          <w:sz w:val="28"/>
          <w:szCs w:val="28"/>
        </w:rPr>
        <w:t>This equipment mainly etches nanometer-sized structures, and the etching results may need to be sent to SEM or TEM for observation before further adjustment. SEM or TEM observations need to entrust the material analysis team to conduct observations.</w:t>
      </w:r>
    </w:p>
    <w:p w:rsidR="00A929B7" w:rsidRPr="003C0D6D" w:rsidRDefault="004500AC" w:rsidP="004500AC">
      <w:pPr>
        <w:pStyle w:val="a7"/>
        <w:widowControl/>
        <w:numPr>
          <w:ilvl w:val="0"/>
          <w:numId w:val="3"/>
        </w:numPr>
        <w:snapToGrid w:val="0"/>
        <w:spacing w:before="100" w:beforeAutospacing="1" w:after="100" w:afterAutospacing="1" w:line="360" w:lineRule="auto"/>
        <w:ind w:leftChars="0"/>
        <w:rPr>
          <w:rFonts w:eastAsia="標楷體"/>
          <w:bCs/>
          <w:color w:val="000000"/>
          <w:kern w:val="0"/>
          <w:sz w:val="28"/>
          <w:szCs w:val="28"/>
        </w:rPr>
      </w:pPr>
      <w:r w:rsidRPr="004500AC">
        <w:rPr>
          <w:rFonts w:eastAsia="標楷體" w:hAnsi="標楷體"/>
          <w:bCs/>
          <w:color w:val="000000"/>
          <w:kern w:val="0"/>
          <w:sz w:val="28"/>
          <w:szCs w:val="28"/>
        </w:rPr>
        <w:t>For non-standard processes, please contact the engineer in charge of the machine to discuss the feasibility. If you have any questions before delivery, please contact the engineer in charge of the machine.</w:t>
      </w:r>
    </w:p>
    <w:sectPr w:rsidR="00A929B7" w:rsidRPr="003C0D6D" w:rsidSect="00350714">
      <w:pgSz w:w="11906" w:h="16838"/>
      <w:pgMar w:top="1440" w:right="1274" w:bottom="1440" w:left="15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A3C" w:rsidRDefault="00990A3C" w:rsidP="00EA0D6B">
      <w:r>
        <w:separator/>
      </w:r>
    </w:p>
  </w:endnote>
  <w:endnote w:type="continuationSeparator" w:id="0">
    <w:p w:rsidR="00990A3C" w:rsidRDefault="00990A3C" w:rsidP="00EA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A3C" w:rsidRDefault="00990A3C" w:rsidP="00EA0D6B">
      <w:r>
        <w:separator/>
      </w:r>
    </w:p>
  </w:footnote>
  <w:footnote w:type="continuationSeparator" w:id="0">
    <w:p w:rsidR="00990A3C" w:rsidRDefault="00990A3C" w:rsidP="00EA0D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3728D3"/>
    <w:multiLevelType w:val="hybridMultilevel"/>
    <w:tmpl w:val="07C8C752"/>
    <w:lvl w:ilvl="0" w:tplc="36944C06">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2923FC7"/>
    <w:multiLevelType w:val="singleLevel"/>
    <w:tmpl w:val="C95E946C"/>
    <w:lvl w:ilvl="0">
      <w:start w:val="1"/>
      <w:numFmt w:val="decimal"/>
      <w:lvlText w:val="%1."/>
      <w:lvlJc w:val="left"/>
      <w:pPr>
        <w:tabs>
          <w:tab w:val="num" w:pos="210"/>
        </w:tabs>
        <w:ind w:left="210" w:hanging="210"/>
      </w:pPr>
      <w:rPr>
        <w:rFonts w:hint="default"/>
      </w:rPr>
    </w:lvl>
  </w:abstractNum>
  <w:abstractNum w:abstractNumId="2" w15:restartNumberingAfterBreak="0">
    <w:nsid w:val="64C80B41"/>
    <w:multiLevelType w:val="hybridMultilevel"/>
    <w:tmpl w:val="1AD6EB76"/>
    <w:lvl w:ilvl="0" w:tplc="80A6D7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929B7"/>
    <w:rsid w:val="00063FBB"/>
    <w:rsid w:val="00070E57"/>
    <w:rsid w:val="000B0155"/>
    <w:rsid w:val="000E42D7"/>
    <w:rsid w:val="00115CAA"/>
    <w:rsid w:val="001273AE"/>
    <w:rsid w:val="001763A0"/>
    <w:rsid w:val="001E5254"/>
    <w:rsid w:val="001F7250"/>
    <w:rsid w:val="00285ABA"/>
    <w:rsid w:val="002A3E9B"/>
    <w:rsid w:val="002B0F3E"/>
    <w:rsid w:val="00302B6E"/>
    <w:rsid w:val="00350714"/>
    <w:rsid w:val="0035514B"/>
    <w:rsid w:val="00355796"/>
    <w:rsid w:val="00381B59"/>
    <w:rsid w:val="00386B34"/>
    <w:rsid w:val="003C0D6D"/>
    <w:rsid w:val="003D0856"/>
    <w:rsid w:val="004500AC"/>
    <w:rsid w:val="00451DE5"/>
    <w:rsid w:val="004812DC"/>
    <w:rsid w:val="004D3F72"/>
    <w:rsid w:val="00501FD9"/>
    <w:rsid w:val="00512FEE"/>
    <w:rsid w:val="005247AD"/>
    <w:rsid w:val="0056151E"/>
    <w:rsid w:val="005F00E2"/>
    <w:rsid w:val="0060469C"/>
    <w:rsid w:val="0063405D"/>
    <w:rsid w:val="00662F01"/>
    <w:rsid w:val="006B7B9D"/>
    <w:rsid w:val="00774BD3"/>
    <w:rsid w:val="007C1DD6"/>
    <w:rsid w:val="007C6315"/>
    <w:rsid w:val="008242BD"/>
    <w:rsid w:val="008A641C"/>
    <w:rsid w:val="008C447E"/>
    <w:rsid w:val="008F6EA2"/>
    <w:rsid w:val="00904839"/>
    <w:rsid w:val="00917E0D"/>
    <w:rsid w:val="0092552D"/>
    <w:rsid w:val="00944F43"/>
    <w:rsid w:val="00960233"/>
    <w:rsid w:val="00990008"/>
    <w:rsid w:val="00990A3C"/>
    <w:rsid w:val="00A13AFC"/>
    <w:rsid w:val="00A2783A"/>
    <w:rsid w:val="00A524CA"/>
    <w:rsid w:val="00A929B7"/>
    <w:rsid w:val="00AA13F0"/>
    <w:rsid w:val="00AE159F"/>
    <w:rsid w:val="00B14486"/>
    <w:rsid w:val="00B20ED9"/>
    <w:rsid w:val="00B47EB1"/>
    <w:rsid w:val="00B56D4B"/>
    <w:rsid w:val="00BE7218"/>
    <w:rsid w:val="00BF53B8"/>
    <w:rsid w:val="00CE115F"/>
    <w:rsid w:val="00E56E69"/>
    <w:rsid w:val="00E74B51"/>
    <w:rsid w:val="00EA0D6B"/>
    <w:rsid w:val="00EE3D0A"/>
    <w:rsid w:val="00F63E73"/>
    <w:rsid w:val="00F915F8"/>
    <w:rsid w:val="00FC5E7A"/>
    <w:rsid w:val="00FE57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2616C0B-6C96-41CA-990C-626F2417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4C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A0D6B"/>
    <w:pPr>
      <w:tabs>
        <w:tab w:val="center" w:pos="4153"/>
        <w:tab w:val="right" w:pos="8306"/>
      </w:tabs>
      <w:snapToGrid w:val="0"/>
    </w:pPr>
    <w:rPr>
      <w:sz w:val="20"/>
      <w:szCs w:val="20"/>
    </w:rPr>
  </w:style>
  <w:style w:type="character" w:customStyle="1" w:styleId="a4">
    <w:name w:val="頁首 字元"/>
    <w:basedOn w:val="a0"/>
    <w:link w:val="a3"/>
    <w:rsid w:val="00EA0D6B"/>
    <w:rPr>
      <w:kern w:val="2"/>
    </w:rPr>
  </w:style>
  <w:style w:type="paragraph" w:styleId="a5">
    <w:name w:val="footer"/>
    <w:basedOn w:val="a"/>
    <w:link w:val="a6"/>
    <w:rsid w:val="00EA0D6B"/>
    <w:pPr>
      <w:tabs>
        <w:tab w:val="center" w:pos="4153"/>
        <w:tab w:val="right" w:pos="8306"/>
      </w:tabs>
      <w:snapToGrid w:val="0"/>
    </w:pPr>
    <w:rPr>
      <w:sz w:val="20"/>
      <w:szCs w:val="20"/>
    </w:rPr>
  </w:style>
  <w:style w:type="character" w:customStyle="1" w:styleId="a6">
    <w:name w:val="頁尾 字元"/>
    <w:basedOn w:val="a0"/>
    <w:link w:val="a5"/>
    <w:rsid w:val="00EA0D6B"/>
    <w:rPr>
      <w:kern w:val="2"/>
    </w:rPr>
  </w:style>
  <w:style w:type="paragraph" w:styleId="a7">
    <w:name w:val="List Paragraph"/>
    <w:basedOn w:val="a"/>
    <w:uiPriority w:val="34"/>
    <w:qFormat/>
    <w:rsid w:val="00AA13F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173</Words>
  <Characters>989</Characters>
  <Application>Microsoft Office Word</Application>
  <DocSecurity>0</DocSecurity>
  <Lines>8</Lines>
  <Paragraphs>2</Paragraphs>
  <ScaleCrop>false</ScaleCrop>
  <Company>ndl</Company>
  <LinksUpToDate>false</LinksUpToDate>
  <CharactersWithSpaces>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注意事項</dc:title>
  <dc:subject/>
  <dc:creator>miyang</dc:creator>
  <cp:keywords/>
  <dc:description/>
  <cp:lastModifiedBy>許倬綸</cp:lastModifiedBy>
  <cp:revision>13</cp:revision>
  <dcterms:created xsi:type="dcterms:W3CDTF">2013-03-12T00:59:00Z</dcterms:created>
  <dcterms:modified xsi:type="dcterms:W3CDTF">2023-08-25T03:12:00Z</dcterms:modified>
</cp:coreProperties>
</file>