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B0EBF" w14:textId="77777777" w:rsidR="00E47807" w:rsidRPr="006A22E8" w:rsidRDefault="007C1FB1">
      <w:pPr>
        <w:pStyle w:val="a4"/>
        <w:spacing w:line="553" w:lineRule="exact"/>
        <w:rPr>
          <w:rFonts w:ascii="Times New Roman" w:eastAsia="標楷體" w:hAnsi="Times New Roman" w:cs="Times New Roman"/>
          <w:lang w:eastAsia="zh-TW"/>
        </w:rPr>
      </w:pPr>
      <w:r w:rsidRPr="006A22E8">
        <w:rPr>
          <w:rFonts w:ascii="Times New Roman" w:hAnsi="Times New Roman" w:cs="Times New Roman"/>
          <w:lang w:bidi="en-US"/>
        </w:rPr>
        <w:t>Ultra-high metal and metal oxide nano-level film sputtering system</w:t>
      </w:r>
    </w:p>
    <w:p w14:paraId="5D11881B" w14:textId="0606B65B" w:rsidR="00E47807" w:rsidRPr="006A22E8" w:rsidRDefault="007C1FB1">
      <w:pPr>
        <w:pStyle w:val="a4"/>
        <w:spacing w:before="79"/>
        <w:rPr>
          <w:rFonts w:ascii="Times New Roman" w:eastAsia="標楷體" w:hAnsi="Times New Roman" w:cs="Times New Roman"/>
        </w:rPr>
      </w:pPr>
      <w:r w:rsidRPr="006A22E8">
        <w:rPr>
          <w:rFonts w:ascii="Times New Roman" w:hAnsi="Times New Roman" w:cs="Times New Roman"/>
          <w:lang w:bidi="en-US"/>
        </w:rPr>
        <w:t>SOP</w:t>
      </w:r>
    </w:p>
    <w:p w14:paraId="7857A1F6" w14:textId="77777777" w:rsidR="00533AB4" w:rsidRPr="006A22E8" w:rsidRDefault="00533AB4">
      <w:pPr>
        <w:pStyle w:val="a3"/>
        <w:spacing w:before="9"/>
        <w:ind w:left="0"/>
        <w:rPr>
          <w:rFonts w:eastAsia="標楷體"/>
          <w:b/>
          <w:sz w:val="29"/>
        </w:rPr>
      </w:pPr>
    </w:p>
    <w:p w14:paraId="718087CC" w14:textId="08DBBABA" w:rsidR="00E47807" w:rsidRPr="006A22E8" w:rsidRDefault="007C1FB1" w:rsidP="00921664">
      <w:pPr>
        <w:spacing w:line="493" w:lineRule="exact"/>
        <w:ind w:left="601" w:hanging="482"/>
        <w:rPr>
          <w:rFonts w:eastAsia="標楷體"/>
          <w:b/>
          <w:sz w:val="28"/>
        </w:rPr>
      </w:pPr>
      <w:r w:rsidRPr="006A22E8">
        <w:rPr>
          <w:noProof/>
          <w:lang w:bidi="en-US"/>
        </w:rPr>
        <w:drawing>
          <wp:inline distT="0" distB="0" distL="0" distR="0" wp14:anchorId="4E9DEFC5" wp14:editId="1C043DA6">
            <wp:extent cx="155575" cy="14461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55575" cy="144610"/>
                    </a:xfrm>
                    <a:prstGeom prst="rect">
                      <a:avLst/>
                    </a:prstGeom>
                  </pic:spPr>
                </pic:pic>
              </a:graphicData>
            </a:graphic>
          </wp:inline>
        </w:drawing>
      </w:r>
      <w:r w:rsidR="00921664" w:rsidRPr="006A22E8">
        <w:rPr>
          <w:sz w:val="20"/>
          <w:lang w:bidi="en-US"/>
        </w:rPr>
        <w:tab/>
      </w:r>
      <w:r w:rsidRPr="006A22E8">
        <w:rPr>
          <w:b/>
          <w:sz w:val="28"/>
          <w:lang w:bidi="en-US"/>
        </w:rPr>
        <w:t>System interface</w:t>
      </w:r>
    </w:p>
    <w:p w14:paraId="6AE69478" w14:textId="77777777" w:rsidR="00E47807" w:rsidRPr="006A22E8" w:rsidRDefault="007C1FB1">
      <w:pPr>
        <w:pStyle w:val="a3"/>
        <w:spacing w:before="10"/>
        <w:ind w:left="0"/>
        <w:rPr>
          <w:rFonts w:eastAsia="標楷體"/>
          <w:b/>
          <w:sz w:val="13"/>
        </w:rPr>
      </w:pPr>
      <w:r w:rsidRPr="006A22E8">
        <w:rPr>
          <w:noProof/>
          <w:lang w:bidi="en-US"/>
        </w:rPr>
        <w:drawing>
          <wp:anchor distT="0" distB="0" distL="0" distR="0" simplePos="0" relativeHeight="251657216" behindDoc="0" locked="0" layoutInCell="1" allowOverlap="1" wp14:anchorId="69BDBE0D" wp14:editId="2F30F422">
            <wp:simplePos x="0" y="0"/>
            <wp:positionH relativeFrom="page">
              <wp:posOffset>1143000</wp:posOffset>
            </wp:positionH>
            <wp:positionV relativeFrom="paragraph">
              <wp:posOffset>178269</wp:posOffset>
            </wp:positionV>
            <wp:extent cx="4771984" cy="6726555"/>
            <wp:effectExtent l="0" t="0" r="0" b="0"/>
            <wp:wrapTopAndBottom/>
            <wp:docPr id="3" name="image2.jpeg" descr="C:\Users\Ghost\Downloads\S__1417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4771984" cy="6726555"/>
                    </a:xfrm>
                    <a:prstGeom prst="rect">
                      <a:avLst/>
                    </a:prstGeom>
                  </pic:spPr>
                </pic:pic>
              </a:graphicData>
            </a:graphic>
          </wp:anchor>
        </w:drawing>
      </w:r>
    </w:p>
    <w:p w14:paraId="2ADAA712" w14:textId="77777777" w:rsidR="00E47807" w:rsidRPr="006A22E8" w:rsidRDefault="007C1FB1">
      <w:pPr>
        <w:pStyle w:val="a3"/>
        <w:spacing w:before="70"/>
        <w:ind w:left="120"/>
        <w:rPr>
          <w:rFonts w:eastAsia="標楷體"/>
        </w:rPr>
      </w:pPr>
      <w:r w:rsidRPr="006A22E8">
        <w:rPr>
          <w:lang w:bidi="en-US"/>
        </w:rPr>
        <w:t>Cass A, Cass B: Load Port</w:t>
      </w:r>
    </w:p>
    <w:p w14:paraId="21483189" w14:textId="77777777" w:rsidR="00E47807" w:rsidRPr="006A22E8" w:rsidRDefault="00E47807">
      <w:pPr>
        <w:rPr>
          <w:rFonts w:eastAsia="標楷體"/>
        </w:rPr>
        <w:sectPr w:rsidR="00E47807" w:rsidRPr="006A22E8">
          <w:type w:val="continuous"/>
          <w:pgSz w:w="11910" w:h="16840"/>
          <w:pgMar w:top="1520" w:right="1680" w:bottom="280" w:left="1680" w:header="720" w:footer="720" w:gutter="0"/>
          <w:cols w:space="720"/>
        </w:sectPr>
      </w:pPr>
    </w:p>
    <w:p w14:paraId="69A11FFF" w14:textId="77777777" w:rsidR="00E47807" w:rsidRPr="006A22E8" w:rsidRDefault="007C1FB1">
      <w:pPr>
        <w:pStyle w:val="a3"/>
        <w:spacing w:before="61" w:line="312" w:lineRule="auto"/>
        <w:ind w:left="120" w:right="5699"/>
        <w:rPr>
          <w:rFonts w:eastAsia="標楷體"/>
        </w:rPr>
      </w:pPr>
      <w:r w:rsidRPr="006A22E8">
        <w:rPr>
          <w:lang w:bidi="en-US"/>
        </w:rPr>
        <w:lastRenderedPageBreak/>
        <w:t>FI: Factory Interface Aligner: Align 12” Notch LLA, LLB: Loadlock Buffer, Transfer: Mainframe Ch A: Pass Through</w:t>
      </w:r>
    </w:p>
    <w:p w14:paraId="6555618F" w14:textId="77777777" w:rsidR="00E47807" w:rsidRPr="006A22E8" w:rsidRDefault="007C1FB1">
      <w:pPr>
        <w:pStyle w:val="a3"/>
        <w:spacing w:before="7" w:line="312" w:lineRule="auto"/>
        <w:ind w:left="120" w:right="6466"/>
        <w:jc w:val="both"/>
        <w:rPr>
          <w:rFonts w:eastAsia="標楷體"/>
        </w:rPr>
      </w:pPr>
      <w:r w:rsidRPr="006A22E8">
        <w:rPr>
          <w:lang w:bidi="en-US"/>
        </w:rPr>
        <w:t>Ch B: Cryo-cooling Ch F: Degas/Anneal Ch 1: Oxidation</w:t>
      </w:r>
    </w:p>
    <w:p w14:paraId="178CA8AF" w14:textId="77777777" w:rsidR="00E47807" w:rsidRPr="006A22E8" w:rsidRDefault="007C1FB1">
      <w:pPr>
        <w:pStyle w:val="a3"/>
        <w:spacing w:before="3" w:line="312" w:lineRule="auto"/>
        <w:ind w:left="120" w:right="4476"/>
        <w:rPr>
          <w:rFonts w:eastAsia="標楷體"/>
        </w:rPr>
      </w:pPr>
      <w:r w:rsidRPr="006A22E8">
        <w:rPr>
          <w:lang w:bidi="en-US"/>
        </w:rPr>
        <w:t>Ch 2: CoFeB</w:t>
      </w:r>
      <w:r w:rsidRPr="006A22E8">
        <w:rPr>
          <w:sz w:val="16"/>
          <w:lang w:bidi="en-US"/>
        </w:rPr>
        <w:t>25</w:t>
      </w:r>
      <w:r w:rsidRPr="006A22E8">
        <w:rPr>
          <w:lang w:bidi="en-US"/>
        </w:rPr>
        <w:t>, CoFeB</w:t>
      </w:r>
      <w:r w:rsidRPr="006A22E8">
        <w:rPr>
          <w:sz w:val="16"/>
          <w:lang w:bidi="en-US"/>
        </w:rPr>
        <w:t>20</w:t>
      </w:r>
      <w:r w:rsidRPr="006A22E8">
        <w:rPr>
          <w:lang w:bidi="en-US"/>
        </w:rPr>
        <w:t>, CoFe, Mo, Mg Ch 3: RF-MgO</w:t>
      </w:r>
    </w:p>
    <w:p w14:paraId="0A2FED1C" w14:textId="77777777" w:rsidR="00E47807" w:rsidRPr="006A22E8" w:rsidRDefault="007C1FB1">
      <w:pPr>
        <w:pStyle w:val="a3"/>
        <w:spacing w:before="0"/>
        <w:ind w:left="120"/>
        <w:rPr>
          <w:rFonts w:eastAsia="標楷體"/>
          <w:lang w:val="pl-PL"/>
        </w:rPr>
      </w:pPr>
      <w:r w:rsidRPr="006A22E8">
        <w:rPr>
          <w:lang w:bidi="en-US"/>
        </w:rPr>
        <w:t>Ch 5: Co, Pt, Ru, Ta, W</w:t>
      </w:r>
    </w:p>
    <w:p w14:paraId="6BA8131A" w14:textId="77777777" w:rsidR="00E47807" w:rsidRPr="006A22E8" w:rsidRDefault="007C1FB1">
      <w:pPr>
        <w:pStyle w:val="a3"/>
        <w:spacing w:before="57" w:line="280" w:lineRule="auto"/>
        <w:ind w:left="120" w:right="3462"/>
        <w:rPr>
          <w:rFonts w:eastAsia="標楷體"/>
          <w:lang w:val="pl-PL"/>
        </w:rPr>
      </w:pPr>
      <w:r w:rsidRPr="006A22E8">
        <w:rPr>
          <w:lang w:bidi="en-US"/>
        </w:rPr>
        <w:t>A chamber in blue is online, meaning the chamber is connected to system automation. A chamber in green means in process or transfer.</w:t>
      </w:r>
    </w:p>
    <w:p w14:paraId="29F1B4AC" w14:textId="77777777" w:rsidR="00E47807" w:rsidRPr="006A22E8" w:rsidRDefault="007C1FB1">
      <w:pPr>
        <w:pStyle w:val="a3"/>
        <w:spacing w:before="0"/>
        <w:ind w:left="120"/>
        <w:rPr>
          <w:rFonts w:eastAsia="標楷體"/>
          <w:lang w:val="pl-PL"/>
        </w:rPr>
      </w:pPr>
      <w:r w:rsidRPr="006A22E8">
        <w:rPr>
          <w:lang w:bidi="en-US"/>
        </w:rPr>
        <w:t>Wafer in process is circled in white, with cass and slot displayed</w:t>
      </w:r>
    </w:p>
    <w:p w14:paraId="5E9D4C11" w14:textId="77777777" w:rsidR="00E47807" w:rsidRPr="006A22E8" w:rsidRDefault="00E47807">
      <w:pPr>
        <w:pStyle w:val="a3"/>
        <w:spacing w:before="10"/>
        <w:ind w:left="0"/>
        <w:rPr>
          <w:rFonts w:eastAsia="標楷體"/>
          <w:sz w:val="18"/>
          <w:lang w:val="pl-PL"/>
        </w:rPr>
      </w:pPr>
    </w:p>
    <w:p w14:paraId="537C13D9" w14:textId="53A119E4" w:rsidR="00E47807" w:rsidRPr="006A22E8" w:rsidRDefault="007C1FB1" w:rsidP="00921664">
      <w:pPr>
        <w:spacing w:line="493" w:lineRule="exact"/>
        <w:ind w:left="601" w:hanging="482"/>
        <w:rPr>
          <w:rFonts w:eastAsia="標楷體"/>
          <w:b/>
          <w:sz w:val="28"/>
          <w:lang w:val="pl-PL"/>
        </w:rPr>
      </w:pPr>
      <w:r w:rsidRPr="006A22E8">
        <w:rPr>
          <w:noProof/>
          <w:lang w:bidi="en-US"/>
        </w:rPr>
        <w:drawing>
          <wp:inline distT="0" distB="0" distL="0" distR="0" wp14:anchorId="0412760D" wp14:editId="53477EF4">
            <wp:extent cx="155575" cy="144610"/>
            <wp:effectExtent l="0" t="0" r="0" b="0"/>
            <wp:docPr id="5"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7" cstate="print"/>
                    <a:stretch>
                      <a:fillRect/>
                    </a:stretch>
                  </pic:blipFill>
                  <pic:spPr>
                    <a:xfrm>
                      <a:off x="0" y="0"/>
                      <a:ext cx="155575" cy="144610"/>
                    </a:xfrm>
                    <a:prstGeom prst="rect">
                      <a:avLst/>
                    </a:prstGeom>
                  </pic:spPr>
                </pic:pic>
              </a:graphicData>
            </a:graphic>
          </wp:inline>
        </w:drawing>
      </w:r>
      <w:r w:rsidR="00921664" w:rsidRPr="006A22E8">
        <w:rPr>
          <w:sz w:val="20"/>
          <w:lang w:bidi="en-US"/>
        </w:rPr>
        <w:tab/>
      </w:r>
      <w:r w:rsidRPr="006A22E8">
        <w:rPr>
          <w:b/>
          <w:sz w:val="28"/>
          <w:lang w:bidi="en-US"/>
        </w:rPr>
        <w:t>Execution interface</w:t>
      </w:r>
    </w:p>
    <w:p w14:paraId="5A124658" w14:textId="77777777" w:rsidR="00E47807" w:rsidRPr="006A22E8" w:rsidRDefault="007C1FB1">
      <w:pPr>
        <w:pStyle w:val="a3"/>
        <w:spacing w:before="12"/>
        <w:ind w:left="0"/>
        <w:rPr>
          <w:rFonts w:eastAsia="標楷體"/>
          <w:b/>
          <w:sz w:val="5"/>
          <w:lang w:val="pl-PL"/>
        </w:rPr>
      </w:pPr>
      <w:r w:rsidRPr="006A22E8">
        <w:rPr>
          <w:noProof/>
          <w:lang w:bidi="en-US"/>
        </w:rPr>
        <w:drawing>
          <wp:anchor distT="0" distB="0" distL="0" distR="0" simplePos="0" relativeHeight="251660288" behindDoc="0" locked="0" layoutInCell="1" allowOverlap="1" wp14:anchorId="78DE3340" wp14:editId="7F610B91">
            <wp:simplePos x="0" y="0"/>
            <wp:positionH relativeFrom="page">
              <wp:posOffset>1143000</wp:posOffset>
            </wp:positionH>
            <wp:positionV relativeFrom="paragraph">
              <wp:posOffset>88988</wp:posOffset>
            </wp:positionV>
            <wp:extent cx="4897990" cy="4271867"/>
            <wp:effectExtent l="0" t="0" r="0" b="0"/>
            <wp:wrapTopAndBottom/>
            <wp:docPr id="7" name="image3.jpeg" descr="C:\Users\Ghost\Downloads\S__1417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9" cstate="print"/>
                    <a:stretch>
                      <a:fillRect/>
                    </a:stretch>
                  </pic:blipFill>
                  <pic:spPr>
                    <a:xfrm>
                      <a:off x="0" y="0"/>
                      <a:ext cx="4897990" cy="4271867"/>
                    </a:xfrm>
                    <a:prstGeom prst="rect">
                      <a:avLst/>
                    </a:prstGeom>
                  </pic:spPr>
                </pic:pic>
              </a:graphicData>
            </a:graphic>
          </wp:anchor>
        </w:drawing>
      </w:r>
    </w:p>
    <w:p w14:paraId="0A2187FF" w14:textId="77777777" w:rsidR="00E47807" w:rsidRPr="006A22E8" w:rsidRDefault="007C1FB1">
      <w:pPr>
        <w:pStyle w:val="a3"/>
        <w:spacing w:before="87"/>
        <w:ind w:left="120"/>
        <w:rPr>
          <w:rFonts w:eastAsia="標楷體"/>
          <w:lang w:val="pl-PL"/>
        </w:rPr>
      </w:pPr>
      <w:r w:rsidRPr="006A22E8">
        <w:rPr>
          <w:lang w:bidi="en-US"/>
        </w:rPr>
        <w:t>The blue block in Cass A (Slot 1~25) means there is a wafer inside.</w:t>
      </w:r>
    </w:p>
    <w:p w14:paraId="436AF5F0" w14:textId="4585A68E" w:rsidR="00E47807" w:rsidRPr="006A22E8" w:rsidRDefault="007C1FB1">
      <w:pPr>
        <w:pStyle w:val="a3"/>
        <w:ind w:left="120"/>
        <w:rPr>
          <w:rFonts w:eastAsia="標楷體"/>
        </w:rPr>
      </w:pPr>
      <w:r w:rsidRPr="006A22E8">
        <w:rPr>
          <w:lang w:bidi="en-US"/>
        </w:rPr>
        <w:t>If it is necessary to select the Lot name of a wafer in process, such as Slot 7, it is possible</w:t>
      </w:r>
      <w:r w:rsidRPr="006A22E8">
        <w:rPr>
          <w:lang w:bidi="en-US"/>
        </w:rPr>
        <w:t xml:space="preserve"> to correspond to the Sequence name. A sequence contains multiple recipe names. Slot 7 has already been transferred to Chamber for process, so a blue block is not displayed in Cass A.</w:t>
      </w:r>
    </w:p>
    <w:p w14:paraId="17FCDA6D" w14:textId="77777777" w:rsidR="006D42F6" w:rsidRPr="006A22E8" w:rsidRDefault="006D42F6">
      <w:pPr>
        <w:rPr>
          <w:rFonts w:eastAsia="標楷體"/>
          <w:sz w:val="20"/>
        </w:rPr>
      </w:pPr>
      <w:r w:rsidRPr="006A22E8">
        <w:rPr>
          <w:sz w:val="20"/>
          <w:lang w:bidi="en-US"/>
        </w:rPr>
        <w:br w:type="page"/>
      </w:r>
    </w:p>
    <w:p w14:paraId="6661C9C6" w14:textId="343CB51D" w:rsidR="00E47807" w:rsidRPr="006A22E8" w:rsidRDefault="007C1FB1" w:rsidP="00921664">
      <w:pPr>
        <w:spacing w:line="493" w:lineRule="exact"/>
        <w:ind w:left="601" w:hanging="482"/>
        <w:rPr>
          <w:rFonts w:eastAsia="標楷體"/>
          <w:b/>
          <w:sz w:val="28"/>
        </w:rPr>
      </w:pPr>
      <w:r w:rsidRPr="006A22E8">
        <w:rPr>
          <w:noProof/>
          <w:lang w:bidi="en-US"/>
        </w:rPr>
        <w:lastRenderedPageBreak/>
        <w:drawing>
          <wp:inline distT="0" distB="0" distL="0" distR="0" wp14:anchorId="4905BA7A" wp14:editId="7BCFBD72">
            <wp:extent cx="155575" cy="144610"/>
            <wp:effectExtent l="0" t="0" r="0" b="0"/>
            <wp:docPr id="9"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7" cstate="print"/>
                    <a:stretch>
                      <a:fillRect/>
                    </a:stretch>
                  </pic:blipFill>
                  <pic:spPr>
                    <a:xfrm>
                      <a:off x="0" y="0"/>
                      <a:ext cx="155575" cy="144610"/>
                    </a:xfrm>
                    <a:prstGeom prst="rect">
                      <a:avLst/>
                    </a:prstGeom>
                  </pic:spPr>
                </pic:pic>
              </a:graphicData>
            </a:graphic>
          </wp:inline>
        </w:drawing>
      </w:r>
      <w:r w:rsidR="00921664" w:rsidRPr="006A22E8">
        <w:rPr>
          <w:sz w:val="20"/>
          <w:lang w:bidi="en-US"/>
        </w:rPr>
        <w:tab/>
      </w:r>
      <w:r w:rsidRPr="006A22E8">
        <w:rPr>
          <w:b/>
          <w:sz w:val="28"/>
          <w:lang w:bidi="en-US"/>
        </w:rPr>
        <w:t>Operation and note</w:t>
      </w:r>
    </w:p>
    <w:p w14:paraId="5086A9F0" w14:textId="77777777" w:rsidR="00E47807" w:rsidRPr="006A22E8" w:rsidRDefault="007C1FB1">
      <w:pPr>
        <w:pStyle w:val="a5"/>
        <w:numPr>
          <w:ilvl w:val="0"/>
          <w:numId w:val="2"/>
        </w:numPr>
        <w:tabs>
          <w:tab w:val="left" w:pos="481"/>
        </w:tabs>
        <w:spacing w:before="143"/>
        <w:ind w:hanging="361"/>
        <w:jc w:val="both"/>
        <w:rPr>
          <w:rFonts w:eastAsia="標楷體"/>
          <w:sz w:val="24"/>
        </w:rPr>
      </w:pPr>
      <w:r w:rsidRPr="006A22E8">
        <w:rPr>
          <w:sz w:val="24"/>
          <w:lang w:bidi="en-US"/>
        </w:rPr>
        <w:t>Check the system status before coating. It is rec</w:t>
      </w:r>
      <w:r w:rsidRPr="006A22E8">
        <w:rPr>
          <w:sz w:val="24"/>
          <w:lang w:bidi="en-US"/>
        </w:rPr>
        <w:t>ommended to set the pressure of the Deposition chamber to under 1E-08 torr.</w:t>
      </w:r>
    </w:p>
    <w:p w14:paraId="78520510" w14:textId="6C41BB4D" w:rsidR="00E47807" w:rsidRPr="006A22E8" w:rsidRDefault="007C1FB1" w:rsidP="007B7460">
      <w:pPr>
        <w:pStyle w:val="a5"/>
        <w:numPr>
          <w:ilvl w:val="0"/>
          <w:numId w:val="2"/>
        </w:numPr>
        <w:tabs>
          <w:tab w:val="left" w:pos="481"/>
        </w:tabs>
        <w:spacing w:before="143"/>
        <w:ind w:hanging="361"/>
        <w:jc w:val="both"/>
        <w:rPr>
          <w:rFonts w:eastAsia="標楷體"/>
          <w:sz w:val="24"/>
        </w:rPr>
      </w:pPr>
      <w:r w:rsidRPr="006A22E8">
        <w:rPr>
          <w:sz w:val="24"/>
          <w:lang w:bidi="en-US"/>
        </w:rPr>
        <w:t xml:space="preserve">When coating a 8” wafer, it is necessary to record the thin film thickness for the carrier wafer. When the carrier wafer film thickness is &gt;37500A, please </w:t>
      </w:r>
      <w:r w:rsidRPr="006A22E8">
        <w:rPr>
          <w:lang w:bidi="en-US"/>
        </w:rPr>
        <w:t>recycle and purge</w:t>
      </w:r>
    </w:p>
    <w:p w14:paraId="7D992DCC" w14:textId="30BB7189" w:rsidR="00E47807" w:rsidRPr="006A22E8" w:rsidRDefault="007C1FB1" w:rsidP="007B7460">
      <w:pPr>
        <w:pStyle w:val="a5"/>
        <w:numPr>
          <w:ilvl w:val="0"/>
          <w:numId w:val="2"/>
        </w:numPr>
        <w:tabs>
          <w:tab w:val="left" w:pos="481"/>
        </w:tabs>
        <w:spacing w:before="143"/>
        <w:ind w:hanging="361"/>
        <w:jc w:val="both"/>
        <w:rPr>
          <w:rFonts w:eastAsia="標楷體"/>
          <w:sz w:val="24"/>
        </w:rPr>
      </w:pPr>
      <w:r w:rsidRPr="006A22E8">
        <w:rPr>
          <w:sz w:val="24"/>
          <w:lang w:bidi="en-US"/>
        </w:rPr>
        <w:t>When taking a wafer out from Foup, make sure to process this step in the front mask</w:t>
      </w:r>
      <w:r w:rsidRPr="006A22E8">
        <w:rPr>
          <w:sz w:val="24"/>
          <w:lang w:bidi="en-US"/>
        </w:rPr>
        <w:t xml:space="preserve"> of the load port. Take the wafer with a clamp or put a 8” wafer in. DO NOT touch the front of the carrier wafer. Make sure not to place two carrier wafers in slots that are too close to each other (for example, put wafers in slot 1, 6, 11, etc.). When pla</w:t>
      </w:r>
      <w:r w:rsidRPr="006A22E8">
        <w:rPr>
          <w:sz w:val="24"/>
          <w:lang w:bidi="en-US"/>
        </w:rPr>
        <w:t>cing an 8” wafer, make sure that the wafer is correctly placed in the slot of the carrier wafer. No protrusion or tilt is allowed.</w:t>
      </w:r>
    </w:p>
    <w:p w14:paraId="787ED607" w14:textId="77777777" w:rsidR="00E47807" w:rsidRPr="006A22E8" w:rsidRDefault="007C1FB1">
      <w:pPr>
        <w:pStyle w:val="a3"/>
        <w:spacing w:before="2" w:line="280" w:lineRule="auto"/>
        <w:ind w:left="480" w:right="114"/>
        <w:jc w:val="both"/>
        <w:rPr>
          <w:rFonts w:eastAsia="標楷體"/>
        </w:rPr>
      </w:pPr>
      <w:r w:rsidRPr="006A22E8">
        <w:rPr>
          <w:lang w:bidi="en-US"/>
        </w:rPr>
        <w:t xml:space="preserve">(Also: When placing/taking out a wafer from Foup to process in a Class 100 cleanroom, make sure to hold the carrier wafer in </w:t>
      </w:r>
      <w:r w:rsidRPr="006A22E8">
        <w:rPr>
          <w:lang w:bidi="en-US"/>
        </w:rPr>
        <w:t>both hands. DO NOT use a vacuum pen (the wafer may drop). Place the carrier wafer on a cleanroom wipe after taking it out and then take an 8” wafer using a vacuum pen)</w:t>
      </w:r>
    </w:p>
    <w:p w14:paraId="34E5D28A" w14:textId="3413A4F5" w:rsidR="00E47807" w:rsidRPr="006A22E8" w:rsidRDefault="007C1FB1" w:rsidP="007B7460">
      <w:pPr>
        <w:pStyle w:val="a5"/>
        <w:numPr>
          <w:ilvl w:val="0"/>
          <w:numId w:val="2"/>
        </w:numPr>
        <w:tabs>
          <w:tab w:val="left" w:pos="481"/>
        </w:tabs>
        <w:spacing w:before="143"/>
        <w:ind w:hanging="361"/>
        <w:jc w:val="both"/>
        <w:rPr>
          <w:rFonts w:eastAsia="標楷體"/>
          <w:sz w:val="24"/>
        </w:rPr>
      </w:pPr>
      <w:r w:rsidRPr="006A22E8">
        <w:rPr>
          <w:sz w:val="24"/>
          <w:lang w:bidi="en-US"/>
        </w:rPr>
        <w:t xml:space="preserve">Make sure the Foup door is securely locked. After placing on the Load port, remember to </w:t>
      </w:r>
      <w:r w:rsidRPr="006A22E8">
        <w:rPr>
          <w:sz w:val="24"/>
          <w:lang w:bidi="en-US"/>
        </w:rPr>
        <w:t>check whether the front cover protrudes again.</w:t>
      </w:r>
    </w:p>
    <w:p w14:paraId="6FCAC5AE" w14:textId="77777777" w:rsidR="00E47807" w:rsidRPr="006A22E8" w:rsidRDefault="007C1FB1" w:rsidP="007B7460">
      <w:pPr>
        <w:pStyle w:val="a5"/>
        <w:numPr>
          <w:ilvl w:val="0"/>
          <w:numId w:val="2"/>
        </w:numPr>
        <w:tabs>
          <w:tab w:val="left" w:pos="481"/>
        </w:tabs>
        <w:spacing w:before="143"/>
        <w:ind w:hanging="361"/>
        <w:jc w:val="both"/>
        <w:rPr>
          <w:rFonts w:eastAsia="標楷體"/>
          <w:sz w:val="24"/>
          <w:lang w:eastAsia="zh-TW"/>
        </w:rPr>
      </w:pPr>
      <w:r w:rsidRPr="006A22E8">
        <w:rPr>
          <w:sz w:val="24"/>
          <w:lang w:bidi="en-US"/>
        </w:rPr>
        <w:t>DO NOT change existing Sequence and Recipe. To change conditions, please copy the standard process, add a file, change the name and then modify the content.</w:t>
      </w:r>
    </w:p>
    <w:p w14:paraId="510EA456" w14:textId="77777777" w:rsidR="00E47807" w:rsidRPr="006A22E8" w:rsidRDefault="007C1FB1" w:rsidP="007B7460">
      <w:pPr>
        <w:pStyle w:val="a5"/>
        <w:numPr>
          <w:ilvl w:val="0"/>
          <w:numId w:val="2"/>
        </w:numPr>
        <w:tabs>
          <w:tab w:val="left" w:pos="481"/>
        </w:tabs>
        <w:spacing w:before="143"/>
        <w:ind w:hanging="361"/>
        <w:jc w:val="both"/>
        <w:rPr>
          <w:rFonts w:eastAsia="標楷體"/>
          <w:sz w:val="24"/>
          <w:lang w:eastAsia="zh-TW"/>
        </w:rPr>
      </w:pPr>
      <w:r w:rsidRPr="006A22E8">
        <w:rPr>
          <w:sz w:val="24"/>
          <w:lang w:bidi="en-US"/>
        </w:rPr>
        <w:t xml:space="preserve">Hardware settings of 8” &amp; 12” coating </w:t>
      </w:r>
      <w:r w:rsidRPr="006A22E8">
        <w:rPr>
          <w:color w:val="FF0000"/>
          <w:sz w:val="24"/>
          <w:lang w:bidi="en-US"/>
        </w:rPr>
        <w:t>(important)</w:t>
      </w:r>
      <w:r w:rsidRPr="006A22E8">
        <w:rPr>
          <w:sz w:val="24"/>
          <w:lang w:bidi="en-US"/>
        </w:rPr>
        <w:t>:</w:t>
      </w:r>
    </w:p>
    <w:p w14:paraId="39C36876" w14:textId="77777777" w:rsidR="00E47807" w:rsidRPr="006A22E8" w:rsidRDefault="007C1FB1" w:rsidP="007B7460">
      <w:pPr>
        <w:pStyle w:val="a5"/>
        <w:numPr>
          <w:ilvl w:val="1"/>
          <w:numId w:val="2"/>
        </w:numPr>
        <w:spacing w:before="53" w:line="280" w:lineRule="auto"/>
        <w:ind w:left="924" w:right="118"/>
        <w:rPr>
          <w:rFonts w:eastAsia="標楷體"/>
          <w:sz w:val="24"/>
        </w:rPr>
      </w:pPr>
      <w:r w:rsidRPr="006A22E8">
        <w:rPr>
          <w:sz w:val="24"/>
          <w:lang w:bidi="en-US"/>
        </w:rPr>
        <w:t>P</w:t>
      </w:r>
      <w:r w:rsidRPr="006A22E8">
        <w:rPr>
          <w:sz w:val="24"/>
          <w:lang w:bidi="en-US"/>
        </w:rPr>
        <w:t>lace an 8” operation Foup on</w:t>
      </w:r>
      <w:r w:rsidRPr="006A22E8">
        <w:rPr>
          <w:color w:val="FF0000"/>
          <w:sz w:val="24"/>
          <w:lang w:bidi="en-US"/>
        </w:rPr>
        <w:t>load port A (left)</w:t>
      </w:r>
      <w:r w:rsidRPr="006A22E8">
        <w:rPr>
          <w:sz w:val="24"/>
          <w:lang w:bidi="en-US"/>
        </w:rPr>
        <w:t xml:space="preserve"> and a 12” operation Foup on load port B (right).</w:t>
      </w:r>
    </w:p>
    <w:p w14:paraId="188B3BF4" w14:textId="77777777" w:rsidR="00E47807" w:rsidRPr="006A22E8" w:rsidRDefault="007C1FB1" w:rsidP="007B7460">
      <w:pPr>
        <w:pStyle w:val="a5"/>
        <w:numPr>
          <w:ilvl w:val="1"/>
          <w:numId w:val="2"/>
        </w:numPr>
        <w:spacing w:before="53" w:line="280" w:lineRule="auto"/>
        <w:ind w:left="924" w:right="118"/>
        <w:rPr>
          <w:rFonts w:eastAsia="標楷體"/>
          <w:sz w:val="24"/>
        </w:rPr>
      </w:pPr>
      <w:r w:rsidRPr="006A22E8">
        <w:rPr>
          <w:sz w:val="24"/>
          <w:lang w:bidi="en-US"/>
        </w:rPr>
        <w:t xml:space="preserve">Setup </w:t>
      </w:r>
      <w:r w:rsidRPr="006A22E8">
        <w:rPr>
          <w:sz w:val="24"/>
          <w:lang w:bidi="en-US"/>
        </w:rPr>
        <w:t xml:space="preserve"> Sequencer </w:t>
      </w:r>
      <w:r w:rsidRPr="006A22E8">
        <w:rPr>
          <w:sz w:val="24"/>
          <w:lang w:bidi="en-US"/>
        </w:rPr>
        <w:t> “Configuration” page</w:t>
      </w:r>
    </w:p>
    <w:p w14:paraId="3087C540" w14:textId="77777777" w:rsidR="00E47807" w:rsidRPr="006A22E8" w:rsidRDefault="007C1FB1" w:rsidP="007B7460">
      <w:pPr>
        <w:pStyle w:val="a5"/>
        <w:numPr>
          <w:ilvl w:val="2"/>
          <w:numId w:val="2"/>
        </w:numPr>
        <w:spacing w:before="84"/>
        <w:ind w:left="1299" w:hanging="369"/>
        <w:rPr>
          <w:rFonts w:eastAsia="標楷體"/>
          <w:sz w:val="24"/>
        </w:rPr>
      </w:pPr>
      <w:r w:rsidRPr="006A22E8">
        <w:rPr>
          <w:sz w:val="24"/>
          <w:lang w:bidi="en-US"/>
        </w:rPr>
        <w:t xml:space="preserve">Align wafer by default: </w:t>
      </w:r>
      <w:r w:rsidRPr="006A22E8">
        <w:rPr>
          <w:color w:val="FF0000"/>
          <w:sz w:val="24"/>
          <w:lang w:bidi="en-US"/>
        </w:rPr>
        <w:t>No (8”) / Yes (12”)</w:t>
      </w:r>
    </w:p>
    <w:p w14:paraId="63A6F846" w14:textId="77777777" w:rsidR="00E47807" w:rsidRPr="006A22E8" w:rsidRDefault="007C1FB1" w:rsidP="007B7460">
      <w:pPr>
        <w:pStyle w:val="a5"/>
        <w:numPr>
          <w:ilvl w:val="2"/>
          <w:numId w:val="2"/>
        </w:numPr>
        <w:spacing w:before="84"/>
        <w:ind w:left="1299" w:hanging="369"/>
        <w:rPr>
          <w:rFonts w:eastAsia="標楷體"/>
          <w:sz w:val="24"/>
        </w:rPr>
      </w:pPr>
      <w:r w:rsidRPr="006A22E8">
        <w:rPr>
          <w:sz w:val="24"/>
          <w:lang w:bidi="en-US"/>
        </w:rPr>
        <w:t xml:space="preserve">Align wafer by default for manual transfer: </w:t>
      </w:r>
      <w:r w:rsidRPr="006A22E8">
        <w:rPr>
          <w:color w:val="FF0000"/>
          <w:sz w:val="24"/>
          <w:lang w:bidi="en-US"/>
        </w:rPr>
        <w:t>No (8”) / Yes (12”)</w:t>
      </w:r>
    </w:p>
    <w:p w14:paraId="178F6EF9" w14:textId="77777777" w:rsidR="00E47807" w:rsidRPr="006A22E8" w:rsidRDefault="007C1FB1" w:rsidP="007B7460">
      <w:pPr>
        <w:pStyle w:val="a5"/>
        <w:numPr>
          <w:ilvl w:val="1"/>
          <w:numId w:val="2"/>
        </w:numPr>
        <w:spacing w:before="53" w:line="280" w:lineRule="auto"/>
        <w:ind w:left="924" w:right="118"/>
        <w:rPr>
          <w:rFonts w:eastAsia="標楷體"/>
          <w:sz w:val="24"/>
        </w:rPr>
      </w:pPr>
      <w:r w:rsidRPr="006A22E8">
        <w:rPr>
          <w:sz w:val="24"/>
          <w:lang w:bidi="en-US"/>
        </w:rPr>
        <w:t xml:space="preserve">MF </w:t>
      </w:r>
      <w:r w:rsidRPr="006A22E8">
        <w:rPr>
          <w:sz w:val="24"/>
          <w:lang w:bidi="en-US"/>
        </w:rPr>
        <w:t> Chambe</w:t>
      </w:r>
      <w:r w:rsidRPr="006A22E8">
        <w:rPr>
          <w:sz w:val="24"/>
          <w:lang w:bidi="en-US"/>
        </w:rPr>
        <w:t xml:space="preserve">r B </w:t>
      </w:r>
      <w:r w:rsidRPr="006A22E8">
        <w:rPr>
          <w:sz w:val="24"/>
          <w:lang w:bidi="en-US"/>
        </w:rPr>
        <w:t xml:space="preserve"> Put Chamber Offline </w:t>
      </w:r>
      <w:r w:rsidRPr="006A22E8">
        <w:rPr>
          <w:sz w:val="24"/>
          <w:lang w:bidi="en-US"/>
        </w:rPr>
        <w:t xml:space="preserve"> Lift Calibration </w:t>
      </w:r>
      <w:r w:rsidRPr="006A22E8">
        <w:rPr>
          <w:sz w:val="24"/>
          <w:lang w:bidi="en-US"/>
        </w:rPr>
        <w:t xml:space="preserve"> Pins Lift Calibration </w:t>
      </w:r>
      <w:r w:rsidRPr="006A22E8">
        <w:rPr>
          <w:sz w:val="24"/>
          <w:lang w:bidi="en-US"/>
        </w:rPr>
        <w:t xml:space="preserve"> </w:t>
      </w:r>
      <w:r w:rsidRPr="006A22E8">
        <w:rPr>
          <w:color w:val="FF0000"/>
          <w:sz w:val="24"/>
          <w:lang w:bidi="en-US"/>
        </w:rPr>
        <w:t xml:space="preserve">“Clamp” page </w:t>
      </w:r>
      <w:r w:rsidRPr="006A22E8">
        <w:rPr>
          <w:sz w:val="24"/>
          <w:lang w:bidi="en-US"/>
        </w:rPr>
        <w:t> Clamp Parameters</w:t>
      </w:r>
    </w:p>
    <w:p w14:paraId="74A0FC41" w14:textId="77777777" w:rsidR="00E47807" w:rsidRPr="006A22E8" w:rsidRDefault="007C1FB1" w:rsidP="007B7460">
      <w:pPr>
        <w:pStyle w:val="a3"/>
        <w:spacing w:before="2"/>
        <w:ind w:left="930"/>
        <w:rPr>
          <w:rFonts w:eastAsia="標楷體"/>
        </w:rPr>
      </w:pPr>
      <w:r w:rsidRPr="006A22E8">
        <w:rPr>
          <w:lang w:bidi="en-US"/>
        </w:rPr>
        <w:t xml:space="preserve"> Position: </w:t>
      </w:r>
      <w:r w:rsidRPr="006A22E8">
        <w:rPr>
          <w:color w:val="FF0000"/>
          <w:lang w:bidi="en-US"/>
        </w:rPr>
        <w:t xml:space="preserve">-4200 (8”) / -3000 (12”) </w:t>
      </w:r>
      <w:r w:rsidRPr="006A22E8">
        <w:rPr>
          <w:lang w:bidi="en-US"/>
        </w:rPr>
        <w:t> Put Chamber Online</w:t>
      </w:r>
    </w:p>
    <w:p w14:paraId="5EFA337C" w14:textId="77777777" w:rsidR="00E47807" w:rsidRPr="006A22E8" w:rsidRDefault="007C1FB1" w:rsidP="007B7460">
      <w:pPr>
        <w:pStyle w:val="a5"/>
        <w:numPr>
          <w:ilvl w:val="1"/>
          <w:numId w:val="2"/>
        </w:numPr>
        <w:spacing w:before="53" w:line="280" w:lineRule="auto"/>
        <w:ind w:left="924" w:right="118"/>
        <w:rPr>
          <w:rFonts w:eastAsia="標楷體"/>
          <w:sz w:val="24"/>
        </w:rPr>
      </w:pPr>
      <w:r w:rsidRPr="006A22E8">
        <w:rPr>
          <w:sz w:val="24"/>
          <w:lang w:bidi="en-US"/>
        </w:rPr>
        <w:t xml:space="preserve">Ch.1, 2, 3, 5 </w:t>
      </w:r>
      <w:r w:rsidRPr="006A22E8">
        <w:rPr>
          <w:sz w:val="24"/>
          <w:lang w:bidi="en-US"/>
        </w:rPr>
        <w:t xml:space="preserve"> Put Chamber Offline </w:t>
      </w:r>
      <w:r w:rsidRPr="006A22E8">
        <w:rPr>
          <w:sz w:val="24"/>
          <w:lang w:bidi="en-US"/>
        </w:rPr>
        <w:t> PVD Configuration (Ch.2, 3, 5) / Preclean APC Configurati</w:t>
      </w:r>
      <w:r w:rsidRPr="006A22E8">
        <w:rPr>
          <w:sz w:val="24"/>
          <w:lang w:bidi="en-US"/>
        </w:rPr>
        <w:t xml:space="preserve">on (Ch.1) </w:t>
      </w:r>
      <w:r w:rsidRPr="006A22E8">
        <w:rPr>
          <w:sz w:val="24"/>
          <w:lang w:bidi="en-US"/>
        </w:rPr>
        <w:t xml:space="preserve"> “EChuck” page </w:t>
      </w:r>
      <w:r w:rsidRPr="006A22E8">
        <w:rPr>
          <w:sz w:val="24"/>
          <w:lang w:bidi="en-US"/>
        </w:rPr>
        <w:t xml:space="preserve"> Dechuck </w:t>
      </w:r>
      <w:r w:rsidRPr="006A22E8">
        <w:rPr>
          <w:sz w:val="24"/>
          <w:lang w:bidi="en-US"/>
        </w:rPr>
        <w:t></w:t>
      </w:r>
    </w:p>
    <w:p w14:paraId="3F960F36" w14:textId="77777777" w:rsidR="00E47807" w:rsidRPr="006A22E8" w:rsidRDefault="007C1FB1" w:rsidP="007B7460">
      <w:pPr>
        <w:pStyle w:val="a5"/>
        <w:numPr>
          <w:ilvl w:val="2"/>
          <w:numId w:val="2"/>
        </w:numPr>
        <w:spacing w:before="3"/>
        <w:ind w:left="1299" w:hanging="369"/>
        <w:rPr>
          <w:rFonts w:eastAsia="標楷體"/>
          <w:sz w:val="24"/>
        </w:rPr>
      </w:pPr>
      <w:r w:rsidRPr="006A22E8">
        <w:rPr>
          <w:sz w:val="24"/>
          <w:lang w:bidi="en-US"/>
        </w:rPr>
        <w:t xml:space="preserve">Dechucking Time: </w:t>
      </w:r>
      <w:r w:rsidRPr="006A22E8">
        <w:rPr>
          <w:color w:val="FF0000"/>
          <w:sz w:val="24"/>
          <w:lang w:bidi="en-US"/>
        </w:rPr>
        <w:t>60 s (8”) / 2 s (12”)</w:t>
      </w:r>
    </w:p>
    <w:p w14:paraId="7AD26B6C" w14:textId="7DA2ABC4" w:rsidR="00E47807" w:rsidRPr="006A22E8" w:rsidRDefault="007C1FB1" w:rsidP="007B7460">
      <w:pPr>
        <w:pStyle w:val="a5"/>
        <w:numPr>
          <w:ilvl w:val="2"/>
          <w:numId w:val="2"/>
        </w:numPr>
        <w:spacing w:before="3"/>
        <w:ind w:left="1299" w:hanging="369"/>
        <w:rPr>
          <w:rFonts w:eastAsia="標楷體"/>
        </w:rPr>
      </w:pPr>
      <w:r w:rsidRPr="006A22E8">
        <w:rPr>
          <w:lang w:bidi="en-US"/>
        </w:rPr>
        <w:t xml:space="preserve">Dechuck Pulse: </w:t>
      </w:r>
      <w:r w:rsidRPr="006A22E8">
        <w:rPr>
          <w:color w:val="FF0000"/>
          <w:lang w:bidi="en-US"/>
        </w:rPr>
        <w:t>0% (8”) / 20% (12”)</w:t>
      </w:r>
    </w:p>
    <w:p w14:paraId="75700225" w14:textId="77777777" w:rsidR="00E47807" w:rsidRPr="006A22E8" w:rsidRDefault="007C1FB1" w:rsidP="007B7460">
      <w:pPr>
        <w:pStyle w:val="a3"/>
        <w:spacing w:before="2"/>
        <w:ind w:left="930"/>
        <w:rPr>
          <w:rFonts w:eastAsia="標楷體"/>
        </w:rPr>
      </w:pPr>
      <w:r w:rsidRPr="006A22E8">
        <w:rPr>
          <w:lang w:bidi="en-US"/>
        </w:rPr>
        <w:t> Put Chamber Online</w:t>
      </w:r>
    </w:p>
    <w:p w14:paraId="650F45A4" w14:textId="77777777" w:rsidR="00E47807" w:rsidRPr="006A22E8" w:rsidRDefault="007C1FB1" w:rsidP="007B7460">
      <w:pPr>
        <w:pStyle w:val="a5"/>
        <w:numPr>
          <w:ilvl w:val="0"/>
          <w:numId w:val="2"/>
        </w:numPr>
        <w:tabs>
          <w:tab w:val="left" w:pos="481"/>
        </w:tabs>
        <w:spacing w:before="143"/>
        <w:ind w:hanging="361"/>
        <w:jc w:val="both"/>
        <w:rPr>
          <w:rFonts w:eastAsia="標楷體"/>
          <w:sz w:val="24"/>
          <w:lang w:eastAsia="zh-TW"/>
        </w:rPr>
      </w:pPr>
      <w:r w:rsidRPr="006A22E8">
        <w:rPr>
          <w:sz w:val="24"/>
          <w:lang w:bidi="en-US"/>
        </w:rPr>
        <w:t>DO NOT change other hardware parameter settings.</w:t>
      </w:r>
    </w:p>
    <w:p w14:paraId="15EF9CB1" w14:textId="77777777" w:rsidR="00E47807" w:rsidRPr="006A22E8" w:rsidRDefault="007C1FB1" w:rsidP="007B7460">
      <w:pPr>
        <w:pStyle w:val="a5"/>
        <w:numPr>
          <w:ilvl w:val="0"/>
          <w:numId w:val="2"/>
        </w:numPr>
        <w:tabs>
          <w:tab w:val="left" w:pos="481"/>
        </w:tabs>
        <w:spacing w:before="143"/>
        <w:ind w:hanging="361"/>
        <w:jc w:val="both"/>
        <w:rPr>
          <w:rFonts w:eastAsia="標楷體"/>
          <w:sz w:val="24"/>
        </w:rPr>
      </w:pPr>
      <w:r w:rsidRPr="006A22E8">
        <w:rPr>
          <w:sz w:val="24"/>
          <w:lang w:bidi="en-US"/>
        </w:rPr>
        <w:t>Set process steps:</w:t>
      </w:r>
    </w:p>
    <w:p w14:paraId="245AEC4C" w14:textId="77777777" w:rsidR="00E47807" w:rsidRPr="006A22E8" w:rsidRDefault="007C1FB1" w:rsidP="007B7460">
      <w:pPr>
        <w:pStyle w:val="a5"/>
        <w:numPr>
          <w:ilvl w:val="1"/>
          <w:numId w:val="2"/>
        </w:numPr>
        <w:spacing w:before="52" w:line="280" w:lineRule="auto"/>
        <w:ind w:left="925" w:right="116"/>
        <w:rPr>
          <w:rFonts w:eastAsia="標楷體"/>
          <w:sz w:val="24"/>
        </w:rPr>
      </w:pPr>
      <w:r w:rsidRPr="006A22E8">
        <w:rPr>
          <w:sz w:val="24"/>
          <w:lang w:bidi="en-US"/>
        </w:rPr>
        <w:t>Copy the Sequence of a standard process from the Sequence Editor and rename. (DO NOT change any existing sequence)</w:t>
      </w:r>
    </w:p>
    <w:p w14:paraId="4F27E9B6" w14:textId="77777777" w:rsidR="00E47807" w:rsidRPr="006A22E8" w:rsidRDefault="007C1FB1" w:rsidP="007B7460">
      <w:pPr>
        <w:pStyle w:val="a5"/>
        <w:numPr>
          <w:ilvl w:val="1"/>
          <w:numId w:val="2"/>
        </w:numPr>
        <w:spacing w:before="52" w:line="280" w:lineRule="auto"/>
        <w:ind w:left="925" w:right="116"/>
        <w:rPr>
          <w:rFonts w:eastAsia="標楷體"/>
          <w:sz w:val="24"/>
        </w:rPr>
      </w:pPr>
      <w:r w:rsidRPr="006A22E8">
        <w:rPr>
          <w:sz w:val="24"/>
          <w:lang w:bidi="en-US"/>
        </w:rPr>
        <w:t>Click the newly added Sequence and search for a Recipe for change.</w:t>
      </w:r>
    </w:p>
    <w:p w14:paraId="656B7220" w14:textId="77777777" w:rsidR="00E47807" w:rsidRPr="006A22E8" w:rsidRDefault="007C1FB1" w:rsidP="007B7460">
      <w:pPr>
        <w:pStyle w:val="a5"/>
        <w:numPr>
          <w:ilvl w:val="1"/>
          <w:numId w:val="2"/>
        </w:numPr>
        <w:spacing w:before="52" w:line="280" w:lineRule="auto"/>
        <w:ind w:left="925" w:right="116"/>
        <w:rPr>
          <w:rFonts w:eastAsia="標楷體"/>
          <w:sz w:val="24"/>
        </w:rPr>
      </w:pPr>
      <w:r w:rsidRPr="006A22E8">
        <w:rPr>
          <w:sz w:val="24"/>
          <w:lang w:bidi="en-US"/>
        </w:rPr>
        <w:t>Access the Recipe Editor page, copy the Recipe of a standard process and r</w:t>
      </w:r>
      <w:r w:rsidRPr="006A22E8">
        <w:rPr>
          <w:sz w:val="24"/>
          <w:lang w:bidi="en-US"/>
        </w:rPr>
        <w:t>ename, like Step 1. (DO NOT change an existing Recipe)</w:t>
      </w:r>
    </w:p>
    <w:p w14:paraId="66062843" w14:textId="77777777" w:rsidR="00E47807" w:rsidRPr="006A22E8" w:rsidRDefault="007C1FB1" w:rsidP="007B7460">
      <w:pPr>
        <w:pStyle w:val="a5"/>
        <w:numPr>
          <w:ilvl w:val="1"/>
          <w:numId w:val="2"/>
        </w:numPr>
        <w:spacing w:before="52" w:line="280" w:lineRule="auto"/>
        <w:ind w:left="925" w:right="116"/>
        <w:rPr>
          <w:rFonts w:eastAsia="標楷體"/>
          <w:sz w:val="24"/>
          <w:lang w:eastAsia="zh-TW"/>
        </w:rPr>
      </w:pPr>
      <w:r w:rsidRPr="006A22E8">
        <w:rPr>
          <w:sz w:val="24"/>
          <w:lang w:bidi="en-US"/>
        </w:rPr>
        <w:t>Click the newly added Recipe and change process conditions as necessary, including time, power, gas flow, etc.</w:t>
      </w:r>
    </w:p>
    <w:p w14:paraId="15438F19" w14:textId="77777777" w:rsidR="00E47807" w:rsidRPr="006A22E8" w:rsidRDefault="007C1FB1" w:rsidP="007B7460">
      <w:pPr>
        <w:pStyle w:val="a5"/>
        <w:numPr>
          <w:ilvl w:val="1"/>
          <w:numId w:val="2"/>
        </w:numPr>
        <w:spacing w:before="52" w:line="280" w:lineRule="auto"/>
        <w:ind w:left="925" w:right="116"/>
        <w:rPr>
          <w:rFonts w:eastAsia="標楷體"/>
          <w:sz w:val="24"/>
        </w:rPr>
      </w:pPr>
      <w:r w:rsidRPr="006A22E8">
        <w:rPr>
          <w:sz w:val="24"/>
          <w:lang w:bidi="en-US"/>
        </w:rPr>
        <w:t>Return to the Sequence page and change to the new Recipe as necessary.</w:t>
      </w:r>
    </w:p>
    <w:p w14:paraId="5BD5761E" w14:textId="77777777" w:rsidR="00E47807" w:rsidRPr="006A22E8" w:rsidRDefault="007C1FB1" w:rsidP="007B7460">
      <w:pPr>
        <w:pStyle w:val="a5"/>
        <w:numPr>
          <w:ilvl w:val="1"/>
          <w:numId w:val="2"/>
        </w:numPr>
        <w:spacing w:before="52" w:line="280" w:lineRule="auto"/>
        <w:ind w:left="925" w:right="116"/>
        <w:rPr>
          <w:rFonts w:eastAsia="標楷體"/>
          <w:sz w:val="24"/>
        </w:rPr>
      </w:pPr>
      <w:r w:rsidRPr="006A22E8">
        <w:rPr>
          <w:sz w:val="24"/>
          <w:lang w:bidi="en-US"/>
        </w:rPr>
        <w:lastRenderedPageBreak/>
        <w:t xml:space="preserve">Check </w:t>
      </w:r>
      <w:r w:rsidRPr="006A22E8">
        <w:rPr>
          <w:color w:val="FF0000"/>
          <w:sz w:val="24"/>
          <w:lang w:bidi="en-US"/>
        </w:rPr>
        <w:t>warm up recip</w:t>
      </w:r>
      <w:r w:rsidRPr="006A22E8">
        <w:rPr>
          <w:color w:val="FF0000"/>
          <w:sz w:val="24"/>
          <w:lang w:bidi="en-US"/>
        </w:rPr>
        <w:t>e (target pre-coating and warm-up)</w:t>
      </w:r>
      <w:r w:rsidRPr="006A22E8">
        <w:rPr>
          <w:sz w:val="24"/>
          <w:lang w:bidi="en-US"/>
        </w:rPr>
        <w:t xml:space="preserve"> in the Sequence Start Clean Recipe field.</w:t>
      </w:r>
    </w:p>
    <w:p w14:paraId="2721340B" w14:textId="77777777" w:rsidR="00E47807" w:rsidRPr="006A22E8" w:rsidRDefault="007C1FB1" w:rsidP="007B7460">
      <w:pPr>
        <w:pStyle w:val="a5"/>
        <w:numPr>
          <w:ilvl w:val="0"/>
          <w:numId w:val="1"/>
        </w:numPr>
        <w:ind w:left="1288" w:hanging="369"/>
        <w:rPr>
          <w:rFonts w:eastAsia="標楷體"/>
          <w:sz w:val="24"/>
        </w:rPr>
      </w:pPr>
      <w:r w:rsidRPr="006A22E8">
        <w:rPr>
          <w:sz w:val="24"/>
          <w:lang w:bidi="en-US"/>
        </w:rPr>
        <w:t>To avoid waste, please warm up the necessary target only.</w:t>
      </w:r>
    </w:p>
    <w:p w14:paraId="3FD646FD" w14:textId="77777777" w:rsidR="00E47807" w:rsidRPr="006A22E8" w:rsidRDefault="007C1FB1" w:rsidP="007B7460">
      <w:pPr>
        <w:pStyle w:val="a5"/>
        <w:numPr>
          <w:ilvl w:val="0"/>
          <w:numId w:val="1"/>
        </w:numPr>
        <w:ind w:left="1288" w:hanging="369"/>
        <w:rPr>
          <w:rFonts w:eastAsia="標楷體"/>
          <w:sz w:val="24"/>
        </w:rPr>
      </w:pPr>
      <w:r w:rsidRPr="006A22E8">
        <w:rPr>
          <w:sz w:val="24"/>
          <w:lang w:bidi="en-US"/>
        </w:rPr>
        <w:t>To warm up the same chamber, make sure of the write conditions in the same warm-up recipe. For example: If Co and Pt are in Chamber 5 and there are two recipes to grow Co and Pt, it is not allowed to write the warm-up of Co and Pt separately. The system wi</w:t>
      </w:r>
      <w:r w:rsidRPr="006A22E8">
        <w:rPr>
          <w:sz w:val="24"/>
          <w:lang w:bidi="en-US"/>
        </w:rPr>
        <w:t>ll only select one to warm up.</w:t>
      </w:r>
    </w:p>
    <w:p w14:paraId="1A6E2C35" w14:textId="77777777" w:rsidR="00E47807" w:rsidRPr="006A22E8" w:rsidRDefault="007C1FB1" w:rsidP="007B7460">
      <w:pPr>
        <w:pStyle w:val="a5"/>
        <w:numPr>
          <w:ilvl w:val="0"/>
          <w:numId w:val="1"/>
        </w:numPr>
        <w:ind w:left="1288" w:hanging="369"/>
        <w:rPr>
          <w:rFonts w:eastAsia="標楷體"/>
          <w:sz w:val="24"/>
        </w:rPr>
      </w:pPr>
      <w:r w:rsidRPr="006A22E8">
        <w:rPr>
          <w:sz w:val="24"/>
          <w:lang w:bidi="en-US"/>
        </w:rPr>
        <w:t>After MgO coating, it is necessary to set a periodic clean recipe. Select “RF MgO BKM Paste_”.</w:t>
      </w:r>
    </w:p>
    <w:p w14:paraId="0FA2ADFF" w14:textId="77777777" w:rsidR="00E47807" w:rsidRPr="006A22E8" w:rsidRDefault="007C1FB1" w:rsidP="007B7460">
      <w:pPr>
        <w:pStyle w:val="a5"/>
        <w:numPr>
          <w:ilvl w:val="1"/>
          <w:numId w:val="2"/>
        </w:numPr>
        <w:spacing w:before="120" w:line="280" w:lineRule="auto"/>
        <w:ind w:left="925" w:right="116"/>
        <w:rPr>
          <w:rFonts w:eastAsia="標楷體"/>
          <w:sz w:val="24"/>
          <w:szCs w:val="24"/>
        </w:rPr>
      </w:pPr>
      <w:r w:rsidRPr="006A22E8">
        <w:rPr>
          <w:sz w:val="24"/>
          <w:lang w:bidi="en-US"/>
        </w:rPr>
        <w:t>Pre-step: Set Buffer blade and transfer blade to Pull. Change to Any if cooling is not applied in the process. In Pull, wafers wil</w:t>
      </w:r>
      <w:r w:rsidRPr="006A22E8">
        <w:rPr>
          <w:sz w:val="24"/>
          <w:lang w:bidi="en-US"/>
        </w:rPr>
        <w:t>l be processed one by one and in Any, multiple wafers will be processed at the same time.</w:t>
      </w:r>
    </w:p>
    <w:p w14:paraId="7E630558" w14:textId="2B57FB24"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When the Sequence start clean option setting is “Evacuate+Hold”, the wafer will be loaded to system LL after warm-up. The wafer will be loaded to LL directly when the</w:t>
      </w:r>
      <w:r w:rsidRPr="006A22E8">
        <w:rPr>
          <w:sz w:val="24"/>
          <w:lang w:bidi="en-US"/>
        </w:rPr>
        <w:t xml:space="preserve"> setting is “None”.</w:t>
      </w:r>
    </w:p>
    <w:p w14:paraId="37D0EB4B"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Make sure the recipe of chambers the wafer passes by is placed in Sequence.</w:t>
      </w:r>
    </w:p>
    <w:p w14:paraId="64DF6C7E"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To compare the difference between Sequence and Recipe, access Compare and then select Sequence/Recipe to compare.</w:t>
      </w:r>
    </w:p>
    <w:p w14:paraId="6A520C37"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To change the Degas temperature, access CHF to</w:t>
      </w:r>
      <w:r w:rsidRPr="006A22E8">
        <w:rPr>
          <w:sz w:val="24"/>
          <w:lang w:bidi="en-US"/>
        </w:rPr>
        <w:t xml:space="preserve"> change the chamber temperature. CHF </w:t>
      </w:r>
      <w:r w:rsidRPr="006A22E8">
        <w:rPr>
          <w:sz w:val="24"/>
          <w:lang w:bidi="en-US"/>
        </w:rPr>
        <w:t xml:space="preserve"> Put Chamber Offline </w:t>
      </w:r>
      <w:r w:rsidRPr="006A22E8">
        <w:rPr>
          <w:sz w:val="24"/>
          <w:lang w:bidi="en-US"/>
        </w:rPr>
        <w:t xml:space="preserve"> Monitor Chamber </w:t>
      </w:r>
      <w:r w:rsidRPr="006A22E8">
        <w:rPr>
          <w:sz w:val="24"/>
          <w:lang w:bidi="en-US"/>
        </w:rPr>
        <w:t xml:space="preserve"> Heater Lift </w:t>
      </w:r>
      <w:r w:rsidRPr="006A22E8">
        <w:rPr>
          <w:sz w:val="24"/>
          <w:lang w:bidi="en-US"/>
        </w:rPr>
        <w:t xml:space="preserve"> Temperature </w:t>
      </w:r>
      <w:r w:rsidRPr="006A22E8">
        <w:rPr>
          <w:sz w:val="24"/>
          <w:lang w:bidi="en-US"/>
        </w:rPr>
        <w:t xml:space="preserve"> Request to change to the required temperature </w:t>
      </w:r>
      <w:r w:rsidRPr="006A22E8">
        <w:rPr>
          <w:sz w:val="24"/>
          <w:lang w:bidi="en-US"/>
        </w:rPr>
        <w:t> Put Chamber Online</w:t>
      </w:r>
    </w:p>
    <w:p w14:paraId="18C5A014" w14:textId="4FFCA823"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 xml:space="preserve">Meanwhile, in the Prestep tab in CHF recipe, it is recommended to change Expected </w:t>
      </w:r>
      <w:r w:rsidRPr="006A22E8">
        <w:rPr>
          <w:sz w:val="24"/>
          <w:lang w:bidi="en-US"/>
        </w:rPr>
        <w:t>Heater Standby Temp (degC) to 0 to apply any temperature as well as to avoid setting of the alarm.</w:t>
      </w:r>
    </w:p>
    <w:p w14:paraId="709AE16D"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Save the changed Sequence.</w:t>
      </w:r>
    </w:p>
    <w:p w14:paraId="00C6FB5A"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Click Lot-Sequence Association, click New and select Sequence. Lot name will be updated to the same as Sequence name. Lot name wil</w:t>
      </w:r>
      <w:r w:rsidRPr="006A22E8">
        <w:rPr>
          <w:sz w:val="24"/>
          <w:lang w:bidi="en-US"/>
        </w:rPr>
        <w:t>l be updated to the wafer marking if there is any.</w:t>
      </w:r>
    </w:p>
    <w:p w14:paraId="6CA55CC5"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Change Mode to Freeze to prevent changes and then press OK.</w:t>
      </w:r>
    </w:p>
    <w:p w14:paraId="1EE4F0CC"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 xml:space="preserve">Select all slots under System </w:t>
      </w:r>
      <w:r w:rsidRPr="006A22E8">
        <w:rPr>
          <w:sz w:val="24"/>
          <w:lang w:bidi="en-US"/>
        </w:rPr>
        <w:t> Monitor wafer and then press Clear.</w:t>
      </w:r>
    </w:p>
    <w:p w14:paraId="4FF69175"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Load the Foup on the Load port of Endura PVD.</w:t>
      </w:r>
    </w:p>
    <w:p w14:paraId="41371D0E"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 xml:space="preserve">Click Load Pod under System </w:t>
      </w:r>
      <w:r w:rsidRPr="006A22E8">
        <w:rPr>
          <w:sz w:val="24"/>
          <w:lang w:bidi="en-US"/>
        </w:rPr>
        <w:t xml:space="preserve"> Monitor wafer </w:t>
      </w:r>
      <w:r w:rsidRPr="006A22E8">
        <w:rPr>
          <w:sz w:val="24"/>
          <w:lang w:bidi="en-US"/>
        </w:rPr>
        <w:t> Cass A and the system will run auto-mapping.</w:t>
      </w:r>
    </w:p>
    <w:p w14:paraId="7A627CF9"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Check the wafer, click Set from Configuration above, click Lot name to find the previously created Lot name and then cl</w:t>
      </w:r>
      <w:r w:rsidRPr="006A22E8">
        <w:rPr>
          <w:sz w:val="24"/>
          <w:lang w:bidi="en-US"/>
        </w:rPr>
        <w:t>ick OK.</w:t>
      </w:r>
    </w:p>
    <w:p w14:paraId="2F6142F6"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 xml:space="preserve">For wafer selection or Sequence content error after loading the pod, follow the steps below: Go to manual mode </w:t>
      </w:r>
      <w:r w:rsidRPr="006A22E8">
        <w:rPr>
          <w:sz w:val="24"/>
          <w:lang w:bidi="en-US"/>
        </w:rPr>
        <w:t xml:space="preserve"> Click wafer (white box) and select Set </w:t>
      </w:r>
      <w:r w:rsidRPr="006A22E8">
        <w:rPr>
          <w:sz w:val="24"/>
          <w:lang w:bidi="en-US"/>
        </w:rPr>
        <w:t xml:space="preserve"> Delete </w:t>
      </w:r>
      <w:r w:rsidRPr="006A22E8">
        <w:rPr>
          <w:sz w:val="24"/>
          <w:lang w:bidi="en-US"/>
        </w:rPr>
        <w:t> Clear lot name</w:t>
      </w:r>
    </w:p>
    <w:p w14:paraId="196E3212"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 xml:space="preserve">Check if the pressure of the Deposition chamber is in a normal range. </w:t>
      </w:r>
      <w:r w:rsidRPr="006A22E8">
        <w:rPr>
          <w:sz w:val="24"/>
          <w:lang w:bidi="en-US"/>
        </w:rPr>
        <w:t>It is recommended to be under 1E-08 torr.</w:t>
      </w:r>
    </w:p>
    <w:p w14:paraId="33839D5A"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Check hardware parameters of 8” and 12” wafers, including lift calibration, e-chuck and Align wafer by default.</w:t>
      </w:r>
    </w:p>
    <w:p w14:paraId="5B38641B"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t xml:space="preserve">Select System </w:t>
      </w:r>
      <w:r w:rsidRPr="006A22E8">
        <w:rPr>
          <w:sz w:val="24"/>
          <w:lang w:bidi="en-US"/>
        </w:rPr>
        <w:t> Start Sequence to start the process.</w:t>
      </w:r>
    </w:p>
    <w:p w14:paraId="1D65348E" w14:textId="77777777" w:rsidR="00E47807" w:rsidRPr="006A22E8" w:rsidRDefault="007C1FB1" w:rsidP="007B7460">
      <w:pPr>
        <w:pStyle w:val="a5"/>
        <w:numPr>
          <w:ilvl w:val="1"/>
          <w:numId w:val="2"/>
        </w:numPr>
        <w:spacing w:before="52" w:line="280" w:lineRule="auto"/>
        <w:ind w:left="925" w:right="116"/>
        <w:rPr>
          <w:rFonts w:eastAsia="標楷體"/>
          <w:sz w:val="24"/>
          <w:szCs w:val="24"/>
        </w:rPr>
      </w:pPr>
      <w:r w:rsidRPr="006A22E8">
        <w:rPr>
          <w:sz w:val="24"/>
          <w:lang w:bidi="en-US"/>
        </w:rPr>
        <w:lastRenderedPageBreak/>
        <w:t xml:space="preserve">After the process ends, select System </w:t>
      </w:r>
      <w:r w:rsidRPr="006A22E8">
        <w:rPr>
          <w:sz w:val="24"/>
          <w:lang w:bidi="en-US"/>
        </w:rPr>
        <w:t> Stop Sequ</w:t>
      </w:r>
      <w:r w:rsidRPr="006A22E8">
        <w:rPr>
          <w:sz w:val="24"/>
          <w:lang w:bidi="en-US"/>
        </w:rPr>
        <w:t>ence to remove the Foup.</w:t>
      </w:r>
    </w:p>
    <w:sectPr w:rsidR="00E47807" w:rsidRPr="006A22E8">
      <w:pgSz w:w="11910" w:h="16840"/>
      <w:pgMar w:top="1380" w:right="168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89BD2" w14:textId="77777777" w:rsidR="00326195" w:rsidRDefault="00326195" w:rsidP="008C5752">
      <w:r>
        <w:separator/>
      </w:r>
    </w:p>
  </w:endnote>
  <w:endnote w:type="continuationSeparator" w:id="0">
    <w:p w14:paraId="15ABBC32" w14:textId="77777777" w:rsidR="00326195" w:rsidRDefault="00326195" w:rsidP="008C5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Microsoft YaHei UI">
    <w:panose1 w:val="020B0503020204020204"/>
    <w:charset w:val="86"/>
    <w:family w:val="swiss"/>
    <w:pitch w:val="variable"/>
    <w:sig w:usb0="80000287" w:usb1="2A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0B3D0" w14:textId="77777777" w:rsidR="00326195" w:rsidRDefault="00326195" w:rsidP="008C5752">
      <w:r>
        <w:separator/>
      </w:r>
    </w:p>
  </w:footnote>
  <w:footnote w:type="continuationSeparator" w:id="0">
    <w:p w14:paraId="1987ADC2" w14:textId="77777777" w:rsidR="00326195" w:rsidRDefault="00326195" w:rsidP="008C57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7011D"/>
    <w:multiLevelType w:val="hybridMultilevel"/>
    <w:tmpl w:val="A3C6848A"/>
    <w:lvl w:ilvl="0" w:tplc="3CF4DD2E">
      <w:numFmt w:val="bullet"/>
      <w:lvlText w:val=""/>
      <w:lvlJc w:val="left"/>
      <w:pPr>
        <w:ind w:left="2040" w:hanging="480"/>
      </w:pPr>
      <w:rPr>
        <w:rFonts w:ascii="Wingdings" w:eastAsia="Wingdings" w:hAnsi="Wingdings" w:cs="Wingdings" w:hint="default"/>
        <w:w w:val="100"/>
        <w:sz w:val="24"/>
        <w:szCs w:val="24"/>
        <w:lang w:val="en-US" w:eastAsia="en-US" w:bidi="ar-SA"/>
      </w:rPr>
    </w:lvl>
    <w:lvl w:ilvl="1" w:tplc="A95EF580">
      <w:numFmt w:val="bullet"/>
      <w:lvlText w:val="•"/>
      <w:lvlJc w:val="left"/>
      <w:pPr>
        <w:ind w:left="2690" w:hanging="480"/>
      </w:pPr>
      <w:rPr>
        <w:rFonts w:hint="default"/>
        <w:lang w:val="en-US" w:eastAsia="en-US" w:bidi="ar-SA"/>
      </w:rPr>
    </w:lvl>
    <w:lvl w:ilvl="2" w:tplc="EF0886E4">
      <w:numFmt w:val="bullet"/>
      <w:lvlText w:val="•"/>
      <w:lvlJc w:val="left"/>
      <w:pPr>
        <w:ind w:left="3341" w:hanging="480"/>
      </w:pPr>
      <w:rPr>
        <w:rFonts w:hint="default"/>
        <w:lang w:val="en-US" w:eastAsia="en-US" w:bidi="ar-SA"/>
      </w:rPr>
    </w:lvl>
    <w:lvl w:ilvl="3" w:tplc="742AFF2A">
      <w:numFmt w:val="bullet"/>
      <w:lvlText w:val="•"/>
      <w:lvlJc w:val="left"/>
      <w:pPr>
        <w:ind w:left="3991" w:hanging="480"/>
      </w:pPr>
      <w:rPr>
        <w:rFonts w:hint="default"/>
        <w:lang w:val="en-US" w:eastAsia="en-US" w:bidi="ar-SA"/>
      </w:rPr>
    </w:lvl>
    <w:lvl w:ilvl="4" w:tplc="7C38EEF4">
      <w:numFmt w:val="bullet"/>
      <w:lvlText w:val="•"/>
      <w:lvlJc w:val="left"/>
      <w:pPr>
        <w:ind w:left="4642" w:hanging="480"/>
      </w:pPr>
      <w:rPr>
        <w:rFonts w:hint="default"/>
        <w:lang w:val="en-US" w:eastAsia="en-US" w:bidi="ar-SA"/>
      </w:rPr>
    </w:lvl>
    <w:lvl w:ilvl="5" w:tplc="97EEFCB0">
      <w:numFmt w:val="bullet"/>
      <w:lvlText w:val="•"/>
      <w:lvlJc w:val="left"/>
      <w:pPr>
        <w:ind w:left="5293" w:hanging="480"/>
      </w:pPr>
      <w:rPr>
        <w:rFonts w:hint="default"/>
        <w:lang w:val="en-US" w:eastAsia="en-US" w:bidi="ar-SA"/>
      </w:rPr>
    </w:lvl>
    <w:lvl w:ilvl="6" w:tplc="7E84F4CE">
      <w:numFmt w:val="bullet"/>
      <w:lvlText w:val="•"/>
      <w:lvlJc w:val="left"/>
      <w:pPr>
        <w:ind w:left="5943" w:hanging="480"/>
      </w:pPr>
      <w:rPr>
        <w:rFonts w:hint="default"/>
        <w:lang w:val="en-US" w:eastAsia="en-US" w:bidi="ar-SA"/>
      </w:rPr>
    </w:lvl>
    <w:lvl w:ilvl="7" w:tplc="2EB6459A">
      <w:numFmt w:val="bullet"/>
      <w:lvlText w:val="•"/>
      <w:lvlJc w:val="left"/>
      <w:pPr>
        <w:ind w:left="6594" w:hanging="480"/>
      </w:pPr>
      <w:rPr>
        <w:rFonts w:hint="default"/>
        <w:lang w:val="en-US" w:eastAsia="en-US" w:bidi="ar-SA"/>
      </w:rPr>
    </w:lvl>
    <w:lvl w:ilvl="8" w:tplc="A1DA9DA2">
      <w:numFmt w:val="bullet"/>
      <w:lvlText w:val="•"/>
      <w:lvlJc w:val="left"/>
      <w:pPr>
        <w:ind w:left="7245" w:hanging="480"/>
      </w:pPr>
      <w:rPr>
        <w:rFonts w:hint="default"/>
        <w:lang w:val="en-US" w:eastAsia="en-US" w:bidi="ar-SA"/>
      </w:rPr>
    </w:lvl>
  </w:abstractNum>
  <w:abstractNum w:abstractNumId="1" w15:restartNumberingAfterBreak="0">
    <w:nsid w:val="69A40116"/>
    <w:multiLevelType w:val="hybridMultilevel"/>
    <w:tmpl w:val="F742477C"/>
    <w:lvl w:ilvl="0" w:tplc="36360286">
      <w:start w:val="1"/>
      <w:numFmt w:val="decimal"/>
      <w:lvlText w:val="%1."/>
      <w:lvlJc w:val="left"/>
      <w:pPr>
        <w:ind w:left="480" w:hanging="360"/>
        <w:jc w:val="left"/>
      </w:pPr>
      <w:rPr>
        <w:rFonts w:ascii="Times New Roman" w:eastAsia="Times New Roman" w:hAnsi="Times New Roman" w:cs="Times New Roman" w:hint="default"/>
        <w:w w:val="100"/>
        <w:sz w:val="24"/>
        <w:szCs w:val="24"/>
        <w:lang w:val="en-US" w:eastAsia="en-US" w:bidi="ar-SA"/>
      </w:rPr>
    </w:lvl>
    <w:lvl w:ilvl="1" w:tplc="C9C05568">
      <w:start w:val="1"/>
      <w:numFmt w:val="decimal"/>
      <w:lvlText w:val="(%2)"/>
      <w:lvlJc w:val="left"/>
      <w:pPr>
        <w:ind w:left="998" w:hanging="454"/>
        <w:jc w:val="left"/>
      </w:pPr>
      <w:rPr>
        <w:rFonts w:ascii="Times New Roman" w:eastAsia="Times New Roman" w:hAnsi="Times New Roman" w:cs="Times New Roman" w:hint="default"/>
        <w:w w:val="100"/>
        <w:sz w:val="24"/>
        <w:szCs w:val="24"/>
        <w:lang w:val="en-US" w:eastAsia="en-US" w:bidi="ar-SA"/>
      </w:rPr>
    </w:lvl>
    <w:lvl w:ilvl="2" w:tplc="6E58AFDC">
      <w:start w:val="1"/>
      <w:numFmt w:val="lowerLetter"/>
      <w:lvlText w:val="%3."/>
      <w:lvlJc w:val="left"/>
      <w:pPr>
        <w:ind w:left="1209" w:hanging="212"/>
        <w:jc w:val="left"/>
      </w:pPr>
      <w:rPr>
        <w:rFonts w:ascii="Times New Roman" w:eastAsia="Times New Roman" w:hAnsi="Times New Roman" w:cs="Times New Roman" w:hint="default"/>
        <w:spacing w:val="-1"/>
        <w:w w:val="100"/>
        <w:sz w:val="24"/>
        <w:szCs w:val="24"/>
        <w:lang w:val="en-US" w:eastAsia="en-US" w:bidi="ar-SA"/>
      </w:rPr>
    </w:lvl>
    <w:lvl w:ilvl="3" w:tplc="23A01E76">
      <w:numFmt w:val="bullet"/>
      <w:lvlText w:val="•"/>
      <w:lvlJc w:val="left"/>
      <w:pPr>
        <w:ind w:left="1200" w:hanging="212"/>
      </w:pPr>
      <w:rPr>
        <w:rFonts w:hint="default"/>
        <w:lang w:val="en-US" w:eastAsia="en-US" w:bidi="ar-SA"/>
      </w:rPr>
    </w:lvl>
    <w:lvl w:ilvl="4" w:tplc="E48A34F2">
      <w:numFmt w:val="bullet"/>
      <w:lvlText w:val="•"/>
      <w:lvlJc w:val="left"/>
      <w:pPr>
        <w:ind w:left="1220" w:hanging="212"/>
      </w:pPr>
      <w:rPr>
        <w:rFonts w:hint="default"/>
        <w:lang w:val="en-US" w:eastAsia="en-US" w:bidi="ar-SA"/>
      </w:rPr>
    </w:lvl>
    <w:lvl w:ilvl="5" w:tplc="B44C360A">
      <w:numFmt w:val="bullet"/>
      <w:lvlText w:val="•"/>
      <w:lvlJc w:val="left"/>
      <w:pPr>
        <w:ind w:left="2441" w:hanging="212"/>
      </w:pPr>
      <w:rPr>
        <w:rFonts w:hint="default"/>
        <w:lang w:val="en-US" w:eastAsia="en-US" w:bidi="ar-SA"/>
      </w:rPr>
    </w:lvl>
    <w:lvl w:ilvl="6" w:tplc="76842B02">
      <w:numFmt w:val="bullet"/>
      <w:lvlText w:val="•"/>
      <w:lvlJc w:val="left"/>
      <w:pPr>
        <w:ind w:left="3662" w:hanging="212"/>
      </w:pPr>
      <w:rPr>
        <w:rFonts w:hint="default"/>
        <w:lang w:val="en-US" w:eastAsia="en-US" w:bidi="ar-SA"/>
      </w:rPr>
    </w:lvl>
    <w:lvl w:ilvl="7" w:tplc="44C8F938">
      <w:numFmt w:val="bullet"/>
      <w:lvlText w:val="•"/>
      <w:lvlJc w:val="left"/>
      <w:pPr>
        <w:ind w:left="4883" w:hanging="212"/>
      </w:pPr>
      <w:rPr>
        <w:rFonts w:hint="default"/>
        <w:lang w:val="en-US" w:eastAsia="en-US" w:bidi="ar-SA"/>
      </w:rPr>
    </w:lvl>
    <w:lvl w:ilvl="8" w:tplc="82DCAD72">
      <w:numFmt w:val="bullet"/>
      <w:lvlText w:val="•"/>
      <w:lvlJc w:val="left"/>
      <w:pPr>
        <w:ind w:left="6104" w:hanging="212"/>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E47807"/>
    <w:rsid w:val="00326195"/>
    <w:rsid w:val="00413666"/>
    <w:rsid w:val="004F1C72"/>
    <w:rsid w:val="00533AB4"/>
    <w:rsid w:val="00625ECF"/>
    <w:rsid w:val="006A22E8"/>
    <w:rsid w:val="006D42F6"/>
    <w:rsid w:val="007B7460"/>
    <w:rsid w:val="007C1FB1"/>
    <w:rsid w:val="008C5752"/>
    <w:rsid w:val="00921664"/>
    <w:rsid w:val="00B7065E"/>
    <w:rsid w:val="00E47807"/>
    <w:rsid w:val="00FB11F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3615D"/>
  <w15:docId w15:val="{3B17CD26-6500-4652-81B6-43AB02BA7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53"/>
      <w:ind w:left="1080"/>
    </w:pPr>
    <w:rPr>
      <w:sz w:val="24"/>
      <w:szCs w:val="24"/>
    </w:rPr>
  </w:style>
  <w:style w:type="paragraph" w:styleId="a4">
    <w:name w:val="Title"/>
    <w:basedOn w:val="a"/>
    <w:uiPriority w:val="10"/>
    <w:qFormat/>
    <w:pPr>
      <w:ind w:left="475" w:right="475"/>
      <w:jc w:val="center"/>
    </w:pPr>
    <w:rPr>
      <w:rFonts w:ascii="Microsoft YaHei UI" w:eastAsia="Microsoft YaHei UI" w:hAnsi="Microsoft YaHei UI" w:cs="Microsoft YaHei UI"/>
      <w:b/>
      <w:bCs/>
      <w:sz w:val="36"/>
      <w:szCs w:val="36"/>
    </w:rPr>
  </w:style>
  <w:style w:type="paragraph" w:styleId="a5">
    <w:name w:val="List Paragraph"/>
    <w:basedOn w:val="a"/>
    <w:uiPriority w:val="1"/>
    <w:qFormat/>
    <w:pPr>
      <w:spacing w:before="1"/>
      <w:ind w:left="1080" w:hanging="480"/>
    </w:pPr>
  </w:style>
  <w:style w:type="paragraph" w:customStyle="1" w:styleId="TableParagraph">
    <w:name w:val="Table Paragraph"/>
    <w:basedOn w:val="a"/>
    <w:uiPriority w:val="1"/>
    <w:qFormat/>
  </w:style>
  <w:style w:type="paragraph" w:styleId="a6">
    <w:name w:val="header"/>
    <w:basedOn w:val="a"/>
    <w:link w:val="a7"/>
    <w:uiPriority w:val="99"/>
    <w:unhideWhenUsed/>
    <w:rsid w:val="008C5752"/>
    <w:pPr>
      <w:tabs>
        <w:tab w:val="center" w:pos="4153"/>
        <w:tab w:val="right" w:pos="8306"/>
      </w:tabs>
      <w:snapToGrid w:val="0"/>
    </w:pPr>
    <w:rPr>
      <w:sz w:val="20"/>
      <w:szCs w:val="20"/>
    </w:rPr>
  </w:style>
  <w:style w:type="character" w:customStyle="1" w:styleId="a7">
    <w:name w:val="頁首 字元"/>
    <w:basedOn w:val="a0"/>
    <w:link w:val="a6"/>
    <w:uiPriority w:val="99"/>
    <w:rsid w:val="008C5752"/>
    <w:rPr>
      <w:rFonts w:ascii="Times New Roman" w:eastAsia="Times New Roman" w:hAnsi="Times New Roman" w:cs="Times New Roman"/>
      <w:sz w:val="20"/>
      <w:szCs w:val="20"/>
    </w:rPr>
  </w:style>
  <w:style w:type="paragraph" w:styleId="a8">
    <w:name w:val="footer"/>
    <w:basedOn w:val="a"/>
    <w:link w:val="a9"/>
    <w:uiPriority w:val="99"/>
    <w:unhideWhenUsed/>
    <w:rsid w:val="008C5752"/>
    <w:pPr>
      <w:tabs>
        <w:tab w:val="center" w:pos="4153"/>
        <w:tab w:val="right" w:pos="8306"/>
      </w:tabs>
      <w:snapToGrid w:val="0"/>
    </w:pPr>
    <w:rPr>
      <w:sz w:val="20"/>
      <w:szCs w:val="20"/>
    </w:rPr>
  </w:style>
  <w:style w:type="character" w:customStyle="1" w:styleId="a9">
    <w:name w:val="頁尾 字元"/>
    <w:basedOn w:val="a0"/>
    <w:link w:val="a8"/>
    <w:uiPriority w:val="99"/>
    <w:rsid w:val="008C5752"/>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929</Words>
  <Characters>5300</Characters>
  <Application>Microsoft Office Word</Application>
  <DocSecurity>0</DocSecurity>
  <Lines>44</Lines>
  <Paragraphs>12</Paragraphs>
  <ScaleCrop>false</ScaleCrop>
  <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YJT</dc:creator>
  <cp:lastModifiedBy>Editor</cp:lastModifiedBy>
  <cp:revision>9</cp:revision>
  <dcterms:created xsi:type="dcterms:W3CDTF">2023-08-30T02:02:00Z</dcterms:created>
  <dcterms:modified xsi:type="dcterms:W3CDTF">2024-01-29T06:14:00Z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2021-09-17T00:00:00Z</vt:filetime>
  </property>
  <property fmtid="{D5CDD505-2E9C-101B-9397-08002B2CF9AE}" pid="3" name="Creator">
    <vt:lpwstr>Microsoft® Word 2013</vt:lpwstr>
  </property>
  <property fmtid="{D5CDD505-2E9C-101B-9397-08002B2CF9AE}" pid="4" name="LastSaved">
    <vt:filetime>2023-08-30T00:00:00Z</vt:filetime>
  </property>
</Properties>
</file>